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3497580</wp:posOffset>
            </wp:positionH>
            <wp:positionV relativeFrom="paragraph">
              <wp:posOffset>267970</wp:posOffset>
            </wp:positionV>
            <wp:extent cx="1811020" cy="2804160"/>
            <wp:effectExtent l="0" t="0" r="5080" b="2540"/>
            <wp:wrapSquare wrapText="bothSides"/>
            <wp:docPr id="1" name="图片 25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9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中文书名：《纤维手册:为您和您的医生</w:t>
      </w:r>
      <w:r>
        <w:rPr>
          <w:rFonts w:hint="eastAsia"/>
          <w:b/>
          <w:bCs/>
          <w:lang w:val="en-US" w:eastAsia="zh-CN"/>
        </w:rPr>
        <w:t>制作的</w:t>
      </w:r>
      <w:r>
        <w:rPr>
          <w:rFonts w:hint="eastAsia"/>
          <w:b/>
          <w:bCs/>
        </w:rPr>
        <w:t>完整的纤维肌痛症治疗指南》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英文书名：</w:t>
      </w:r>
      <w:bookmarkStart w:id="2" w:name="_GoBack"/>
      <w:r>
        <w:rPr>
          <w:b/>
          <w:bCs/>
        </w:rPr>
        <w:t>THE FIBROMANUAL</w:t>
      </w:r>
      <w:bookmarkEnd w:id="2"/>
      <w:r>
        <w:rPr>
          <w:b/>
          <w:bCs/>
        </w:rPr>
        <w:t>: A Complete Fibromyalgia Treatment Guide for You</w:t>
      </w:r>
      <w:r>
        <w:rPr>
          <w:rFonts w:hint="default"/>
          <w:b/>
          <w:bCs/>
        </w:rPr>
        <w:t> and Your Doctor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作    者：</w:t>
      </w:r>
      <w:r>
        <w:rPr>
          <w:b/>
          <w:bCs/>
        </w:rPr>
        <w:t> </w:t>
      </w:r>
      <w:r>
        <w:rPr>
          <w:rFonts w:hint="default"/>
          <w:b/>
          <w:bCs/>
        </w:rPr>
        <w:t>Ginevra Liptan, MD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b/>
          <w:bCs/>
        </w:rPr>
        <w:t>Ballantine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  <w:lang w:val="en-US" w:eastAsia="zh-CN"/>
        </w:rPr>
        <w:t>Trident</w:t>
      </w:r>
      <w:r>
        <w:rPr>
          <w:rFonts w:hint="eastAsia"/>
          <w:b/>
          <w:bCs/>
        </w:rPr>
        <w:t>/ANA/Cindy Zhang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页    数：</w:t>
      </w:r>
      <w:r>
        <w:rPr>
          <w:rFonts w:hint="eastAsia"/>
          <w:b/>
          <w:bCs/>
          <w:lang w:val="en-US" w:eastAsia="zh-CN"/>
        </w:rPr>
        <w:t>384</w:t>
      </w:r>
      <w:r>
        <w:rPr>
          <w:rFonts w:hint="eastAsia"/>
          <w:b/>
          <w:bCs/>
        </w:rPr>
        <w:t>页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出版时间：201</w:t>
      </w:r>
      <w:r>
        <w:rPr>
          <w:rFonts w:hint="eastAsia"/>
          <w:b/>
          <w:bCs/>
          <w:lang w:val="en-US" w:eastAsia="zh-CN"/>
        </w:rPr>
        <w:t>6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  <w:lang w:val="en-US" w:eastAsia="zh-CN"/>
        </w:rPr>
        <w:t>5</w:t>
      </w:r>
      <w:r>
        <w:rPr>
          <w:rFonts w:hint="eastAsia"/>
          <w:b/>
          <w:bCs/>
        </w:rPr>
        <w:t>月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审读资料：电子</w:t>
      </w:r>
      <w:r>
        <w:rPr>
          <w:rFonts w:hint="eastAsia"/>
          <w:b/>
          <w:bCs/>
          <w:lang w:val="en-US" w:eastAsia="zh-CN"/>
        </w:rPr>
        <w:t>稿</w:t>
      </w:r>
    </w:p>
    <w:p>
      <w:pPr>
        <w:jc w:val="left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</w:t>
      </w:r>
      <w:r>
        <w:rPr>
          <w:rFonts w:hint="eastAsia"/>
          <w:b/>
          <w:bCs/>
          <w:lang w:val="en-US" w:eastAsia="zh-CN"/>
        </w:rPr>
        <w:t>保健</w:t>
      </w: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纤维肌痛症是女性最终去看医生的最常见的原因之一，也是最不为人所知的原因之一，比咽喉肿痛或尿路感染更常见。据估计，有2%到8%的人会患上这种疾病</w:t>
      </w:r>
      <w:r>
        <w:rPr>
          <w:rFonts w:hint="eastAsia"/>
          <w:bCs/>
          <w:szCs w:val="21"/>
          <w:lang w:eastAsia="zh-CN"/>
        </w:rPr>
        <w:t>。</w:t>
      </w:r>
      <w:r>
        <w:rPr>
          <w:rFonts w:hint="eastAsia"/>
          <w:bCs/>
          <w:szCs w:val="21"/>
        </w:rPr>
        <w:t>尽管有数百万人在与各种症状作斗争——肌肉酸痛、睡眠不好、极度疲劳和被称为“纤维雾”的模糊</w:t>
      </w:r>
      <w:r>
        <w:rPr>
          <w:rFonts w:hint="eastAsia"/>
          <w:bCs/>
          <w:szCs w:val="21"/>
          <w:lang w:val="en-US" w:eastAsia="zh-CN"/>
        </w:rPr>
        <w:t>观念</w:t>
      </w:r>
      <w:r>
        <w:rPr>
          <w:rFonts w:hint="eastAsia"/>
          <w:bCs/>
          <w:szCs w:val="21"/>
        </w:rPr>
        <w:t>——但他们从医生那里得到的帮助很少。最近的医师调查显示，大多数医生不知道如何帮助他们的纤维肌痛症患者。这让病人拼命地</w:t>
      </w:r>
      <w:r>
        <w:rPr>
          <w:rFonts w:hint="eastAsia"/>
          <w:bCs/>
          <w:szCs w:val="21"/>
          <w:lang w:val="en-US" w:eastAsia="zh-CN"/>
        </w:rPr>
        <w:t>自己去</w:t>
      </w:r>
      <w:r>
        <w:rPr>
          <w:rFonts w:hint="eastAsia"/>
          <w:bCs/>
          <w:szCs w:val="21"/>
        </w:rPr>
        <w:t>寻找答案，结果</w:t>
      </w:r>
      <w:r>
        <w:rPr>
          <w:rFonts w:hint="eastAsia"/>
          <w:bCs/>
          <w:szCs w:val="21"/>
          <w:lang w:val="en-US" w:eastAsia="zh-CN"/>
        </w:rPr>
        <w:t>不禁令人质疑。</w:t>
      </w:r>
      <w:r>
        <w:rPr>
          <w:rFonts w:hint="eastAsia"/>
          <w:bCs/>
          <w:szCs w:val="21"/>
        </w:rPr>
        <w:t>利普坦的纤维手册</w:t>
      </w:r>
      <w:r>
        <w:rPr>
          <w:rFonts w:hint="eastAsia"/>
          <w:bCs/>
          <w:szCs w:val="21"/>
          <w:lang w:val="en-US" w:eastAsia="zh-CN"/>
        </w:rPr>
        <w:t>解决</w:t>
      </w:r>
      <w:r>
        <w:rPr>
          <w:rFonts w:hint="eastAsia"/>
          <w:bCs/>
          <w:szCs w:val="21"/>
          <w:lang w:val="en-US" w:eastAsia="zh-CN"/>
        </w:rPr>
        <w:t>了这一问题</w:t>
      </w:r>
      <w:r>
        <w:rPr>
          <w:rFonts w:hint="eastAsia"/>
          <w:bCs/>
          <w:szCs w:val="21"/>
        </w:rPr>
        <w:t>，为患者提供</w:t>
      </w:r>
      <w:r>
        <w:rPr>
          <w:rFonts w:hint="eastAsia"/>
          <w:bCs/>
          <w:szCs w:val="21"/>
          <w:lang w:val="en-US" w:eastAsia="zh-CN"/>
        </w:rPr>
        <w:t>有准</w:t>
      </w:r>
      <w:r>
        <w:rPr>
          <w:rFonts w:hint="eastAsia"/>
          <w:bCs/>
          <w:szCs w:val="21"/>
        </w:rPr>
        <w:t>确研究支持的医疗指导，</w:t>
      </w:r>
      <w:r>
        <w:rPr>
          <w:rFonts w:hint="eastAsia"/>
          <w:bCs/>
          <w:szCs w:val="21"/>
          <w:lang w:val="en-US" w:eastAsia="zh-CN"/>
        </w:rPr>
        <w:t>来为治疗这一疾病的医生提供指导</w:t>
      </w:r>
      <w:r>
        <w:rPr>
          <w:rFonts w:hint="eastAsia"/>
          <w:bCs/>
          <w:szCs w:val="21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b/>
          <w:bCs/>
          <w:szCs w:val="21"/>
        </w:rPr>
      </w:pPr>
      <w:r>
        <w:rPr>
          <w:rFonts w:hint="eastAsia"/>
          <w:bCs/>
          <w:szCs w:val="21"/>
        </w:rPr>
        <w:t>有效的治疗纤维肌痛症不能没有一个</w:t>
      </w:r>
      <w:r>
        <w:rPr>
          <w:rFonts w:hint="eastAsia"/>
          <w:bCs/>
          <w:szCs w:val="21"/>
          <w:lang w:val="en-US" w:eastAsia="zh-CN"/>
        </w:rPr>
        <w:t>充分</w:t>
      </w:r>
      <w:r>
        <w:rPr>
          <w:rFonts w:hint="eastAsia"/>
          <w:bCs/>
          <w:szCs w:val="21"/>
          <w:lang w:val="en-US" w:eastAsia="zh-CN"/>
        </w:rPr>
        <w:t>了解这一疾病的</w:t>
      </w:r>
      <w:r>
        <w:rPr>
          <w:rFonts w:hint="eastAsia"/>
          <w:bCs/>
          <w:szCs w:val="21"/>
        </w:rPr>
        <w:t>医生的帮助。</w:t>
      </w:r>
      <w:r>
        <w:rPr>
          <w:rFonts w:hint="eastAsia"/>
          <w:bCs/>
          <w:szCs w:val="21"/>
          <w:lang w:val="en-US" w:eastAsia="zh-CN"/>
        </w:rPr>
        <w:t>然而，</w:t>
      </w:r>
      <w:r>
        <w:rPr>
          <w:rFonts w:hint="eastAsia"/>
          <w:bCs/>
          <w:szCs w:val="21"/>
        </w:rPr>
        <w:t>疲于奔命的医生往往没有时间去积极寻找新疗法</w:t>
      </w:r>
      <w:r>
        <w:rPr>
          <w:rFonts w:hint="eastAsia"/>
          <w:bCs/>
          <w:szCs w:val="21"/>
          <w:lang w:eastAsia="zh-CN"/>
        </w:rPr>
        <w:t>。</w:t>
      </w:r>
      <w:r>
        <w:rPr>
          <w:rFonts w:hint="eastAsia"/>
          <w:bCs/>
          <w:szCs w:val="21"/>
        </w:rPr>
        <w:t>因此研究必须以其他方式引起他们的注意——即由他们的病人来进行。但大多数病人给他们的医生带来了错误的信息</w:t>
      </w:r>
      <w:r>
        <w:rPr>
          <w:rFonts w:hint="eastAsia"/>
          <w:bCs/>
          <w:szCs w:val="21"/>
          <w:lang w:eastAsia="zh-CN"/>
        </w:rPr>
        <w:t>：</w:t>
      </w:r>
      <w:r>
        <w:rPr>
          <w:rFonts w:hint="eastAsia"/>
          <w:bCs/>
          <w:szCs w:val="21"/>
        </w:rPr>
        <w:t>关于别人的治疗方法的博客文章，来自补充性网站的推荐，或者他们从电视节目中听到的东西。</w:t>
      </w:r>
      <w:r>
        <w:rPr>
          <w:rFonts w:hint="eastAsia"/>
          <w:bCs/>
          <w:szCs w:val="21"/>
          <w:lang w:eastAsia="zh-CN"/>
        </w:rPr>
        <w:t>《</w:t>
      </w:r>
      <w:r>
        <w:rPr>
          <w:rFonts w:hint="eastAsia"/>
          <w:bCs/>
          <w:szCs w:val="21"/>
        </w:rPr>
        <w:t>纤维手册</w:t>
      </w:r>
      <w:r>
        <w:rPr>
          <w:rFonts w:hint="eastAsia"/>
          <w:bCs/>
          <w:szCs w:val="21"/>
          <w:lang w:eastAsia="zh-CN"/>
        </w:rPr>
        <w:t>》</w:t>
      </w:r>
      <w:r>
        <w:rPr>
          <w:rFonts w:hint="eastAsia"/>
          <w:bCs/>
          <w:szCs w:val="21"/>
        </w:rPr>
        <w:t>将使患者为他们的医生提供有针对性的，以证据为基础的信息，同时还提供广泛的自我护理建议和独特的，高质量的医疗指导。</w:t>
      </w:r>
    </w:p>
    <w:p>
      <w:pPr>
        <w:rPr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吉恩夫拉·利普坦博士</w:t>
      </w:r>
      <w:r>
        <w:rPr>
          <w:rFonts w:hint="eastAsia"/>
          <w:b/>
          <w:bCs/>
          <w:kern w:val="0"/>
          <w:szCs w:val="21"/>
          <w:lang w:eastAsia="zh-CN"/>
        </w:rPr>
        <w:t>（</w:t>
      </w:r>
      <w:r>
        <w:rPr>
          <w:b/>
          <w:bCs/>
        </w:rPr>
        <w:t>Dr. Ginevra Liptan</w:t>
      </w:r>
      <w:r>
        <w:rPr>
          <w:rFonts w:hint="default"/>
          <w:b/>
          <w:bCs/>
        </w:rPr>
        <w:t> </w:t>
      </w:r>
      <w:r>
        <w:rPr>
          <w:rFonts w:hint="eastAsia"/>
          <w:b/>
          <w:bCs/>
          <w:kern w:val="0"/>
          <w:szCs w:val="21"/>
          <w:lang w:eastAsia="zh-CN"/>
        </w:rPr>
        <w:t>）</w:t>
      </w:r>
      <w:r>
        <w:rPr>
          <w:rFonts w:hint="eastAsia"/>
          <w:kern w:val="0"/>
          <w:szCs w:val="21"/>
        </w:rPr>
        <w:t>是世界上少数专门研究纤维肌痛症的临床专家之一，她自己也是纤维肌痛症患者。她是善心人医院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rFonts w:hint="default"/>
        </w:rPr>
        <w:t>Legacy Good Samaritan Hospital</w:t>
      </w:r>
      <w:r>
        <w:rPr>
          <w:rFonts w:hint="eastAsia"/>
          <w:kern w:val="0"/>
          <w:szCs w:val="21"/>
          <w:lang w:eastAsia="zh-CN"/>
        </w:rPr>
        <w:t>）</w:t>
      </w:r>
      <w:r>
        <w:rPr>
          <w:rFonts w:hint="eastAsia"/>
          <w:kern w:val="0"/>
          <w:szCs w:val="21"/>
        </w:rPr>
        <w:t>内科教学诊所的医学主任，她专注于训练下一代医生治疗纤维肌痛症</w:t>
      </w:r>
      <w:r>
        <w:rPr>
          <w:rFonts w:hint="eastAsia"/>
          <w:kern w:val="0"/>
          <w:szCs w:val="21"/>
          <w:lang w:eastAsia="zh-CN"/>
        </w:rPr>
        <w:t>。</w:t>
      </w:r>
      <w:r>
        <w:rPr>
          <w:rFonts w:hint="eastAsia"/>
          <w:kern w:val="0"/>
          <w:szCs w:val="21"/>
          <w:lang w:val="en-US" w:eastAsia="zh-CN"/>
        </w:rPr>
        <w:t>她同时还</w:t>
      </w:r>
      <w:r>
        <w:rPr>
          <w:rFonts w:hint="eastAsia"/>
          <w:kern w:val="0"/>
          <w:szCs w:val="21"/>
        </w:rPr>
        <w:t>是纤维肌痛症信息基金会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rFonts w:hint="default"/>
        </w:rPr>
        <w:t>Fibromyalgia Information Foundation</w:t>
      </w:r>
      <w:r>
        <w:rPr>
          <w:rFonts w:hint="eastAsia"/>
          <w:kern w:val="0"/>
          <w:szCs w:val="21"/>
          <w:lang w:eastAsia="zh-CN"/>
        </w:rPr>
        <w:t>）</w:t>
      </w:r>
      <w:r>
        <w:rPr>
          <w:rFonts w:hint="eastAsia"/>
          <w:kern w:val="0"/>
          <w:szCs w:val="21"/>
        </w:rPr>
        <w:t>的医学顾问。她之前自己出版的《计算出纤维肌痛症》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rFonts w:hint="default"/>
        </w:rPr>
        <w:t>Figuring Out Fibromyalgia</w:t>
      </w:r>
      <w:r>
        <w:rPr>
          <w:rFonts w:hint="eastAsia"/>
          <w:kern w:val="0"/>
          <w:szCs w:val="21"/>
          <w:lang w:eastAsia="zh-CN"/>
        </w:rPr>
        <w:t>）</w:t>
      </w:r>
      <w:r>
        <w:rPr>
          <w:rFonts w:hint="eastAsia"/>
          <w:kern w:val="0"/>
          <w:szCs w:val="21"/>
        </w:rPr>
        <w:t>一书在</w:t>
      </w:r>
      <w:r>
        <w:rPr>
          <w:rFonts w:hint="eastAsia"/>
          <w:kern w:val="0"/>
          <w:szCs w:val="21"/>
          <w:lang w:val="en-US" w:eastAsia="zh-CN"/>
        </w:rPr>
        <w:t>非书店销售渠道</w:t>
      </w:r>
      <w:r>
        <w:rPr>
          <w:rFonts w:hint="eastAsia"/>
          <w:kern w:val="0"/>
          <w:szCs w:val="21"/>
        </w:rPr>
        <w:t>卖出了11000多本。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/>
          <w:bCs/>
          <w:szCs w:val="21"/>
        </w:rPr>
      </w:pPr>
      <w:bookmarkStart w:id="1" w:name="awards"/>
      <w:bookmarkEnd w:id="1"/>
    </w:p>
    <w:p>
      <w:pPr>
        <w:rPr>
          <w:rFonts w:hint="eastAsia"/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媒体评价:</w:t>
      </w:r>
    </w:p>
    <w:p/>
    <w:p>
      <w:pPr>
        <w:rPr>
          <w:rFonts w:hint="eastAsia"/>
        </w:rPr>
      </w:pPr>
      <w:r>
        <w:rPr>
          <w:rFonts w:hint="eastAsia"/>
        </w:rPr>
        <w:t>“将传统西医的精华和有效的综合疗法结合起来，《纤维瘤手册》是</w:t>
      </w:r>
      <w:r>
        <w:rPr>
          <w:rFonts w:hint="eastAsia"/>
          <w:lang w:val="en-US" w:eastAsia="zh-CN"/>
        </w:rPr>
        <w:t>这一方面</w:t>
      </w:r>
      <w:r>
        <w:rPr>
          <w:rFonts w:hint="eastAsia"/>
        </w:rPr>
        <w:t>最全面的书。”</w:t>
      </w:r>
    </w:p>
    <w:p>
      <w:pPr>
        <w:jc w:val="right"/>
        <w:rPr>
          <w:rFonts w:hint="eastAsia"/>
        </w:rPr>
      </w:pPr>
      <w:r>
        <w:rPr>
          <w:rFonts w:hint="eastAsia"/>
          <w:lang w:val="en-US" w:eastAsia="zh-CN"/>
        </w:rPr>
        <w:t>---</w:t>
      </w:r>
      <w:r>
        <w:rPr>
          <w:rFonts w:hint="eastAsia"/>
        </w:rPr>
        <w:t>克里斯蒂安·诺瑟鲁普</w:t>
      </w:r>
      <w:r>
        <w:rPr>
          <w:rFonts w:hint="eastAsia"/>
          <w:lang w:val="en-US" w:eastAsia="zh-CN"/>
        </w:rPr>
        <w:t>医学</w:t>
      </w:r>
      <w:r>
        <w:rPr>
          <w:rFonts w:hint="eastAsia"/>
        </w:rPr>
        <w:t>博士</w:t>
      </w:r>
      <w:r>
        <w:rPr>
          <w:rFonts w:hint="eastAsia"/>
          <w:lang w:eastAsia="zh-CN"/>
        </w:rPr>
        <w:t>（</w:t>
      </w:r>
      <w:r>
        <w:rPr>
          <w:rFonts w:hint="default"/>
          <w:lang w:val="en-US" w:eastAsia="zh-CN"/>
        </w:rPr>
        <w:t>Christiane Northrup, MD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，《纽约时报》畅销书《女性的身体》</w:t>
      </w:r>
      <w:r>
        <w:rPr>
          <w:rFonts w:hint="eastAsia"/>
          <w:lang w:eastAsia="zh-CN"/>
        </w:rPr>
        <w:t>（</w:t>
      </w:r>
      <w:r>
        <w:rPr>
          <w:rFonts w:hint="default"/>
          <w:lang w:val="en-US" w:eastAsia="zh-CN"/>
        </w:rPr>
        <w:t>Women’s Bodies</w:t>
      </w:r>
      <w:r>
        <w:rPr>
          <w:rFonts w:hint="eastAsia"/>
          <w:lang w:eastAsia="zh-CN"/>
        </w:rPr>
        <w:t>）</w:t>
      </w:r>
      <w:r>
        <w:rPr>
          <w:rFonts w:hint="eastAsia"/>
        </w:rPr>
        <w:t>和《女性的智慧》</w:t>
      </w:r>
      <w:r>
        <w:rPr>
          <w:rFonts w:hint="eastAsia"/>
          <w:lang w:eastAsia="zh-CN"/>
        </w:rPr>
        <w:t>（</w:t>
      </w:r>
      <w:r>
        <w:rPr>
          <w:rFonts w:hint="default"/>
          <w:lang w:val="en-US" w:eastAsia="zh-CN"/>
        </w:rPr>
        <w:t>Women’s Wisdom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的作者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《纤维手册》为纤维肌痛症患者提供了切实可行的治疗方案。它包括有价值的，有洞察力的资源，揭示新的综合治疗方案。使用</w:t>
      </w:r>
      <w:r>
        <w:rPr>
          <w:rFonts w:hint="eastAsia"/>
          <w:lang w:val="en-US" w:eastAsia="zh-CN"/>
        </w:rPr>
        <w:t>利普坦</w:t>
      </w:r>
      <w:r>
        <w:rPr>
          <w:rFonts w:hint="eastAsia"/>
        </w:rPr>
        <w:t>博士基于科学的治疗方案，纤维肌痛症患者</w:t>
      </w:r>
      <w:r>
        <w:rPr>
          <w:rFonts w:hint="eastAsia"/>
          <w:lang w:val="en-US" w:eastAsia="zh-CN"/>
        </w:rPr>
        <w:t>应该对治愈这个疾病有信心</w:t>
      </w:r>
      <w:r>
        <w:rPr>
          <w:rFonts w:hint="eastAsia"/>
        </w:rPr>
        <w:t>。”</w:t>
      </w:r>
    </w:p>
    <w:p>
      <w:pPr>
        <w:jc w:val="right"/>
        <w:rPr>
          <w:rFonts w:hint="eastAsia"/>
        </w:rPr>
      </w:pPr>
      <w:r>
        <w:rPr>
          <w:rFonts w:hint="eastAsia"/>
          <w:lang w:val="en-US" w:eastAsia="zh-CN"/>
        </w:rPr>
        <w:t>---简·法维罗（</w:t>
      </w:r>
      <w:r>
        <w:rPr>
          <w:rFonts w:hint="eastAsia"/>
        </w:rPr>
        <w:t>Jan Favero Chambers</w:t>
      </w:r>
      <w:r>
        <w:rPr>
          <w:rFonts w:hint="eastAsia"/>
          <w:lang w:val="en-US" w:eastAsia="zh-CN"/>
        </w:rPr>
        <w:t>）</w:t>
      </w:r>
      <w:r>
        <w:rPr>
          <w:rFonts w:hint="eastAsia"/>
        </w:rPr>
        <w:t>，国家纤维肌痛和慢性疼痛协会</w:t>
      </w:r>
      <w:r>
        <w:rPr>
          <w:rFonts w:hint="eastAsia"/>
          <w:lang w:eastAsia="zh-CN"/>
        </w:rPr>
        <w:t>（</w:t>
      </w:r>
      <w:r>
        <w:rPr>
          <w:rFonts w:hint="default"/>
          <w:lang w:val="en-US" w:eastAsia="zh-CN"/>
        </w:rPr>
        <w:t xml:space="preserve"> the National Fibromyalgia &amp; Chronic Pain Association</w:t>
      </w:r>
      <w:r>
        <w:rPr>
          <w:rFonts w:hint="eastAsia"/>
          <w:lang w:eastAsia="zh-CN"/>
        </w:rPr>
        <w:t>）</w:t>
      </w:r>
      <w:r>
        <w:rPr>
          <w:rFonts w:hint="eastAsia"/>
        </w:rPr>
        <w:t>主席</w:t>
      </w:r>
      <w:r>
        <w:rPr>
          <w:rFonts w:hint="eastAsia"/>
          <w:lang w:val="en-US" w:eastAsia="zh-CN"/>
        </w:rPr>
        <w:t>兼</w:t>
      </w:r>
      <w:r>
        <w:rPr>
          <w:rFonts w:hint="eastAsia"/>
        </w:rPr>
        <w:t xml:space="preserve">创始人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“《纤维手册》包括了所有对我的纤维肌痛治疗</w:t>
      </w:r>
      <w:r>
        <w:rPr>
          <w:rFonts w:hint="eastAsia"/>
          <w:lang w:val="en-US" w:eastAsia="zh-CN"/>
        </w:rPr>
        <w:t>最有效果的小细节</w:t>
      </w:r>
      <w:r>
        <w:rPr>
          <w:rFonts w:hint="eastAsia"/>
        </w:rPr>
        <w:t>——作为一名患者，我花了多年时间才找到这些治疗方法。这本书将是我的学生的必读书目。”</w:t>
      </w:r>
    </w:p>
    <w:p>
      <w:pPr>
        <w:jc w:val="right"/>
        <w:rPr>
          <w:rFonts w:hint="eastAsia"/>
        </w:rPr>
      </w:pPr>
      <w:r>
        <w:rPr>
          <w:rFonts w:hint="eastAsia"/>
          <w:lang w:val="en-US" w:eastAsia="zh-CN"/>
        </w:rPr>
        <w:t>---</w:t>
      </w:r>
      <w:r>
        <w:rPr>
          <w:rFonts w:hint="eastAsia"/>
        </w:rPr>
        <w:t>塔米·斯塔克豪斯</w:t>
      </w:r>
      <w:r>
        <w:rPr>
          <w:rFonts w:hint="eastAsia"/>
          <w:lang w:eastAsia="zh-CN"/>
        </w:rPr>
        <w:t>（</w:t>
      </w:r>
      <w:r>
        <w:rPr>
          <w:rFonts w:hint="default"/>
          <w:lang w:val="en-US" w:eastAsia="zh-CN"/>
        </w:rPr>
        <w:t>Tami Stackelhouse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，国际纤维肌痛训练学院</w:t>
      </w:r>
      <w:r>
        <w:rPr>
          <w:rFonts w:hint="eastAsia"/>
          <w:lang w:eastAsia="zh-CN"/>
        </w:rPr>
        <w:t>（</w:t>
      </w:r>
      <w:r>
        <w:rPr>
          <w:rFonts w:hint="default"/>
          <w:lang w:val="en-US" w:eastAsia="zh-CN"/>
        </w:rPr>
        <w:t>the International Fibromyalgia Coaching Institute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的创始人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“这是一个关于医生如何克服自身纤维肌痛症的鼓舞人心的故事，这本书包含了对医生和病人的重要教训，以及许多实用的建议和优秀的参考资料，如果你想深入研究的话。”</w:t>
      </w:r>
    </w:p>
    <w:p>
      <w:pPr>
        <w:jc w:val="right"/>
        <w:rPr>
          <w:rFonts w:hint="eastAsia"/>
        </w:rPr>
      </w:pPr>
      <w:r>
        <w:rPr>
          <w:rFonts w:hint="eastAsia"/>
          <w:lang w:val="en-US" w:eastAsia="zh-CN"/>
        </w:rPr>
        <w:t>---理查德·波德尔 （</w:t>
      </w:r>
      <w:r>
        <w:rPr>
          <w:rFonts w:hint="eastAsia"/>
        </w:rPr>
        <w:t>Richard Podell</w:t>
      </w:r>
      <w:r>
        <w:rPr>
          <w:rFonts w:hint="eastAsia"/>
          <w:lang w:val="en-US" w:eastAsia="zh-CN"/>
        </w:rPr>
        <w:t>）</w:t>
      </w:r>
      <w:r>
        <w:rPr>
          <w:rFonts w:hint="eastAsia"/>
        </w:rPr>
        <w:t xml:space="preserve">医学博士，公共卫生硕士，罗格斯医学院家庭医学和社区健康系临床教授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一个易于理解和充分参考的指南。读者将找到他们需要的答案，显著改善他们的生活，他们的护理提供者将找到具体的指导方针</w:t>
      </w:r>
      <w:r>
        <w:rPr>
          <w:rFonts w:hint="eastAsia"/>
          <w:lang w:val="en-US" w:eastAsia="zh-CN"/>
        </w:rPr>
        <w:t>用于</w:t>
      </w:r>
      <w:r>
        <w:rPr>
          <w:rFonts w:hint="eastAsia"/>
        </w:rPr>
        <w:t>治疗，药物和补充剂</w:t>
      </w:r>
      <w:r>
        <w:rPr>
          <w:rFonts w:hint="eastAsia"/>
          <w:lang w:val="en-US" w:eastAsia="zh-CN"/>
        </w:rPr>
        <w:t>的使用</w:t>
      </w:r>
      <w:r>
        <w:rPr>
          <w:rFonts w:hint="eastAsia"/>
        </w:rPr>
        <w:t>。我希望他们能把这本有价值的书通读一遍，以便随时查阅。”</w:t>
      </w:r>
    </w:p>
    <w:p>
      <w:pPr>
        <w:jc w:val="right"/>
        <w:rPr>
          <w:rFonts w:hint="eastAsia"/>
        </w:rPr>
      </w:pPr>
      <w:r>
        <w:rPr>
          <w:rFonts w:hint="eastAsia"/>
          <w:lang w:val="en-US" w:eastAsia="zh-CN"/>
        </w:rPr>
        <w:t>---德文·J·斯塔兰尼（</w:t>
      </w:r>
      <w:r>
        <w:rPr>
          <w:rFonts w:hint="eastAsia"/>
        </w:rPr>
        <w:t>Devin J. Starlany</w:t>
      </w:r>
      <w:r>
        <w:rPr>
          <w:rFonts w:hint="eastAsia"/>
          <w:lang w:val="en-US" w:eastAsia="zh-CN"/>
        </w:rPr>
        <w:t>）</w:t>
      </w:r>
      <w:r>
        <w:rPr>
          <w:rFonts w:hint="eastAsia"/>
        </w:rPr>
        <w:t>，纤维肌痛症和慢性肌筋膜疼痛综合征</w:t>
      </w:r>
      <w:r>
        <w:rPr>
          <w:rFonts w:hint="eastAsia"/>
          <w:lang w:eastAsia="zh-CN"/>
        </w:rPr>
        <w:t>：</w:t>
      </w:r>
      <w:r>
        <w:rPr>
          <w:rFonts w:hint="eastAsia"/>
        </w:rPr>
        <w:t>生存手册</w:t>
      </w:r>
      <w:r>
        <w:rPr>
          <w:rFonts w:hint="eastAsia"/>
          <w:lang w:eastAsia="zh-CN"/>
        </w:rPr>
        <w:t>（</w:t>
      </w:r>
      <w:r>
        <w:t>Fibromyalgia &amp; Chronic Myofascial Pain Syndrome: A Survival Manual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的合著者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“</w:t>
      </w:r>
      <w:r>
        <w:rPr>
          <w:rFonts w:hint="eastAsia"/>
          <w:lang w:val="en-US" w:eastAsia="zh-CN"/>
        </w:rPr>
        <w:t>这是一本</w:t>
      </w:r>
      <w:r>
        <w:rPr>
          <w:rFonts w:hint="eastAsia"/>
        </w:rPr>
        <w:t>实用</w:t>
      </w:r>
      <w:r>
        <w:rPr>
          <w:rFonts w:hint="eastAsia"/>
          <w:lang w:val="en-US" w:eastAsia="zh-CN"/>
        </w:rPr>
        <w:t>而全新的治疗指南来帮助我们应对</w:t>
      </w:r>
      <w:r>
        <w:rPr>
          <w:rFonts w:hint="eastAsia"/>
        </w:rPr>
        <w:t>所有的纤维肌痛症状，并</w:t>
      </w:r>
      <w:r>
        <w:rPr>
          <w:rFonts w:hint="eastAsia"/>
          <w:lang w:val="en-US" w:eastAsia="zh-CN"/>
        </w:rPr>
        <w:t>帮助我们</w:t>
      </w:r>
      <w:r>
        <w:rPr>
          <w:rFonts w:hint="eastAsia"/>
        </w:rPr>
        <w:t>理解治疗不应该</w:t>
      </w:r>
      <w:r>
        <w:rPr>
          <w:rFonts w:hint="eastAsia"/>
          <w:lang w:eastAsia="zh-CN"/>
        </w:rPr>
        <w:t>‘</w:t>
      </w:r>
      <w:r>
        <w:rPr>
          <w:rFonts w:hint="eastAsia"/>
        </w:rPr>
        <w:t>一刀切</w:t>
      </w:r>
      <w:r>
        <w:rPr>
          <w:rFonts w:hint="eastAsia"/>
          <w:lang w:eastAsia="zh-CN"/>
        </w:rPr>
        <w:t>’</w:t>
      </w:r>
      <w:r>
        <w:rPr>
          <w:rFonts w:hint="eastAsia"/>
        </w:rPr>
        <w:t>!我每次和我的医疗团队</w:t>
      </w:r>
      <w:r>
        <w:rPr>
          <w:rFonts w:hint="eastAsia"/>
          <w:lang w:val="en-US" w:eastAsia="zh-CN"/>
        </w:rPr>
        <w:t>开会</w:t>
      </w:r>
      <w:r>
        <w:rPr>
          <w:rFonts w:hint="eastAsia"/>
        </w:rPr>
        <w:t>都带着这本书。”</w:t>
      </w:r>
    </w:p>
    <w:p>
      <w:pPr>
        <w:jc w:val="right"/>
      </w:pPr>
      <w:r>
        <w:rPr>
          <w:rFonts w:hint="eastAsia"/>
          <w:lang w:val="en-US" w:eastAsia="zh-CN"/>
        </w:rPr>
        <w:t>---梅丽莎·塔瓦尔（</w:t>
      </w:r>
      <w:r>
        <w:rPr>
          <w:rFonts w:hint="eastAsia"/>
        </w:rPr>
        <w:t>Melissa Talwar</w:t>
      </w:r>
      <w:r>
        <w:rPr>
          <w:rFonts w:hint="eastAsia"/>
          <w:lang w:val="en-US" w:eastAsia="zh-CN"/>
        </w:rPr>
        <w:t>）</w:t>
      </w:r>
      <w:r>
        <w:rPr>
          <w:rFonts w:hint="eastAsia"/>
        </w:rPr>
        <w:t>，国家纤维肌痛症协会患者宣传和交流主任</w:t>
      </w:r>
    </w:p>
    <w:p/>
    <w:p/>
    <w:p/>
    <w:p/>
    <w:p/>
    <w:p>
      <w:pPr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</w:instrText>
      </w:r>
      <w:r>
        <w:rPr>
          <w:rFonts w:hint="eastAsia"/>
        </w:rPr>
        <w:instrText xml:space="preserve">Cindy@nurnberg.com.cn</w:instrText>
      </w:r>
      <w:r>
        <w:instrText xml:space="preserve">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1146810" cy="1061720"/>
            <wp:effectExtent l="0" t="0" r="8890" b="5080"/>
            <wp:docPr id="2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AA85(07-25-11-10-1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rPr>
        <w:rFonts w:hint="eastAsia" w:ascii="方正姚体" w:eastAsia="方正姚体"/>
        <w:sz w:val="18"/>
        <w:szCs w:val="18"/>
      </w:rPr>
      <w:fldChar w:fldCharType="begin"/>
    </w:r>
    <w:r>
      <w:rPr>
        <w:rFonts w:hint="eastAsia" w:ascii="方正姚体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eastAsia="方正姚体"/>
        <w:sz w:val="18"/>
        <w:szCs w:val="18"/>
      </w:rP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  <w:lang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rPr>
        <w:lang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0EF11E59"/>
    <w:rsid w:val="7BC01B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HTML Cite"/>
    <w:uiPriority w:val="0"/>
    <w:rPr>
      <w:i/>
      <w:iCs/>
    </w:rPr>
  </w:style>
  <w:style w:type="paragraph" w:customStyle="1" w:styleId="15">
    <w:name w:val="Body"/>
    <w:basedOn w:val="1"/>
    <w:qFormat/>
    <w:uiPriority w:val="0"/>
    <w:pPr>
      <w:widowControl/>
    </w:pPr>
    <w:rPr>
      <w:rFonts w:eastAsia="宋体"/>
      <w:kern w:val="0"/>
      <w:sz w:val="24"/>
      <w:lang w:eastAsia="en-US"/>
    </w:rPr>
  </w:style>
  <w:style w:type="paragraph" w:customStyle="1" w:styleId="16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17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18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19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20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converted-space"/>
    <w:basedOn w:val="9"/>
    <w:uiPriority w:val="0"/>
  </w:style>
  <w:style w:type="character" w:customStyle="1" w:styleId="22">
    <w:name w:val="author"/>
    <w:basedOn w:val="9"/>
    <w:uiPriority w:val="0"/>
  </w:style>
  <w:style w:type="character" w:customStyle="1" w:styleId="23">
    <w:name w:val="book_copy1"/>
    <w:uiPriority w:val="0"/>
    <w:rPr>
      <w:color w:val="000000"/>
      <w:sz w:val="18"/>
      <w:szCs w:val="18"/>
    </w:rPr>
  </w:style>
  <w:style w:type="character" w:customStyle="1" w:styleId="24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25">
    <w:name w:val="bsauthor1"/>
    <w:uiPriority w:val="0"/>
    <w:rPr>
      <w:b/>
      <w:bCs/>
      <w:color w:val="000000"/>
      <w:sz w:val="18"/>
      <w:szCs w:val="18"/>
    </w:rPr>
  </w:style>
  <w:style w:type="character" w:customStyle="1" w:styleId="26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7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9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30">
    <w:name w:val="bsauthorlink1"/>
    <w:uiPriority w:val="0"/>
    <w:rPr>
      <w:color w:val="000000"/>
      <w:u w:val="single"/>
    </w:rPr>
  </w:style>
  <w:style w:type="character" w:customStyle="1" w:styleId="31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2">
    <w:name w:val="apple-style-span"/>
    <w:basedOn w:val="9"/>
    <w:uiPriority w:val="0"/>
  </w:style>
  <w:style w:type="character" w:customStyle="1" w:styleId="33">
    <w:name w:val="bstitle1"/>
    <w:uiPriority w:val="0"/>
    <w:rPr>
      <w:b/>
      <w:bCs/>
      <w:color w:val="000000"/>
      <w:sz w:val="24"/>
      <w:szCs w:val="24"/>
    </w:rPr>
  </w:style>
  <w:style w:type="character" w:customStyle="1" w:styleId="34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35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36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37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38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605</Words>
  <Characters>3454</Characters>
  <Lines>28</Lines>
  <Paragraphs>8</Paragraphs>
  <TotalTime>4</TotalTime>
  <ScaleCrop>false</ScaleCrop>
  <LinksUpToDate>false</LinksUpToDate>
  <CharactersWithSpaces>4051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2016-08-09T03:35:00Z</dcterms:created>
  <dc:creator>Image</dc:creator>
  <cp:lastModifiedBy>张滢</cp:lastModifiedBy>
  <cp:lastPrinted>2004-04-23T07:06:00Z</cp:lastPrinted>
  <dcterms:modified xsi:type="dcterms:W3CDTF">2020-05-18T10:04:00Z</dcterms:modified>
  <dc:title>新 书 推 荐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