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1E59E970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FAD06F4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22C1FBCC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1A0AEC1D" w:rsidR="00913635" w:rsidRPr="00F2781E" w:rsidRDefault="00B84DE0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B4CE26" wp14:editId="5C911BE2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66520" cy="206502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F552A9" w:rsidRPr="00F552A9">
        <w:rPr>
          <w:rFonts w:ascii="宋体" w:hAnsi="宋体" w:hint="eastAsia"/>
          <w:b/>
          <w:bCs/>
          <w:szCs w:val="21"/>
        </w:rPr>
        <w:t>老龄化与宏观经济：老龄人口的长期影响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5C1837E8" w:rsidR="00C0222B" w:rsidRPr="0092418D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2418D" w:rsidRPr="0092418D">
        <w:rPr>
          <w:b/>
          <w:bCs/>
          <w:szCs w:val="21"/>
        </w:rPr>
        <w:t>AGING AND THE MACROECONOMY: LONG-TERM IMPLICATIONS OF AN OLDER POPULATION</w:t>
      </w:r>
    </w:p>
    <w:p w14:paraId="37F60644" w14:textId="111CA76C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B84DE0" w:rsidRPr="00B84DE0">
        <w:rPr>
          <w:rFonts w:hAnsi="宋体"/>
          <w:b/>
          <w:bCs/>
          <w:szCs w:val="21"/>
        </w:rPr>
        <w:t>National Research Council Committee on the LRMEE of the AUP</w:t>
      </w:r>
    </w:p>
    <w:p w14:paraId="4F33B0B6" w14:textId="01DECC1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B84DE0" w:rsidRPr="00B84DE0">
        <w:rPr>
          <w:b/>
          <w:bCs/>
          <w:szCs w:val="21"/>
        </w:rPr>
        <w:t>National Academies Press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33B05CB5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8B6AC2">
        <w:rPr>
          <w:rFonts w:eastAsiaTheme="minorEastAsia"/>
          <w:b/>
          <w:bCs/>
          <w:szCs w:val="21"/>
        </w:rPr>
        <w:t>25</w:t>
      </w:r>
      <w:r w:rsidR="00B84DE0"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1CFDBA36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B84DE0">
        <w:rPr>
          <w:rFonts w:eastAsiaTheme="minorEastAsia"/>
          <w:b/>
          <w:bCs/>
          <w:szCs w:val="21"/>
        </w:rPr>
        <w:t>13</w:t>
      </w:r>
      <w:r w:rsidRPr="00CF64B3">
        <w:rPr>
          <w:rFonts w:eastAsiaTheme="minorEastAsia"/>
          <w:b/>
          <w:bCs/>
          <w:szCs w:val="21"/>
        </w:rPr>
        <w:t>年</w:t>
      </w:r>
      <w:r w:rsidR="008B6AC2">
        <w:rPr>
          <w:rFonts w:eastAsiaTheme="minorEastAsia"/>
          <w:b/>
          <w:bCs/>
          <w:szCs w:val="21"/>
        </w:rPr>
        <w:t>1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6EDD539C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089038C0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541D543C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B84DE0">
        <w:rPr>
          <w:rFonts w:eastAsiaTheme="minorEastAsia" w:hint="eastAsia"/>
          <w:b/>
          <w:bCs/>
          <w:color w:val="000000"/>
          <w:szCs w:val="21"/>
        </w:rPr>
        <w:t>社会科学</w:t>
      </w:r>
    </w:p>
    <w:p w14:paraId="2B209543" w14:textId="77777777" w:rsidR="00F2781E" w:rsidRPr="00806FC1" w:rsidRDefault="00F2781E">
      <w:pPr>
        <w:rPr>
          <w:b/>
          <w:bCs/>
          <w:szCs w:val="21"/>
        </w:rPr>
      </w:pPr>
    </w:p>
    <w:p w14:paraId="4F18CF83" w14:textId="700B48B5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04071A7" w14:textId="77777777" w:rsidR="008A25EB" w:rsidRDefault="008A25EB" w:rsidP="002F00DB">
      <w:pPr>
        <w:rPr>
          <w:rFonts w:asciiTheme="minorEastAsia" w:eastAsiaTheme="minorEastAsia" w:hAnsiTheme="minorEastAsia"/>
          <w:szCs w:val="21"/>
        </w:rPr>
      </w:pPr>
    </w:p>
    <w:p w14:paraId="3B7D43C7" w14:textId="2B426BC5" w:rsidR="00B84DE0" w:rsidRPr="008A25EB" w:rsidRDefault="00FC7852" w:rsidP="0096731A">
      <w:pPr>
        <w:ind w:firstLineChars="200" w:firstLine="420"/>
        <w:rPr>
          <w:rFonts w:ascii="宋体" w:hAnsi="宋体"/>
          <w:szCs w:val="21"/>
        </w:rPr>
      </w:pPr>
      <w:r w:rsidRPr="008A25EB">
        <w:rPr>
          <w:rFonts w:ascii="宋体" w:hAnsi="宋体" w:hint="eastAsia"/>
          <w:szCs w:val="21"/>
        </w:rPr>
        <w:t>美国正处于一次重大的人口结构转变中。未来几十年，年龄6</w:t>
      </w:r>
      <w:r w:rsidRPr="008A25EB">
        <w:rPr>
          <w:rFonts w:ascii="宋体" w:hAnsi="宋体"/>
          <w:szCs w:val="21"/>
        </w:rPr>
        <w:t>5</w:t>
      </w:r>
      <w:r w:rsidRPr="008A25EB">
        <w:rPr>
          <w:rFonts w:ascii="宋体" w:hAnsi="宋体" w:hint="eastAsia"/>
          <w:szCs w:val="21"/>
        </w:rPr>
        <w:t>岁及以上的人群将在人口</w:t>
      </w:r>
      <w:r w:rsidR="0017794B">
        <w:rPr>
          <w:rFonts w:ascii="宋体" w:hAnsi="宋体" w:hint="eastAsia"/>
          <w:szCs w:val="21"/>
        </w:rPr>
        <w:t>中</w:t>
      </w:r>
      <w:r w:rsidRPr="008A25EB">
        <w:rPr>
          <w:rFonts w:ascii="宋体" w:hAnsi="宋体" w:hint="eastAsia"/>
          <w:szCs w:val="21"/>
        </w:rPr>
        <w:t>占据越来越高的百分比：年龄超过6</w:t>
      </w:r>
      <w:r w:rsidRPr="008A25EB">
        <w:rPr>
          <w:rFonts w:ascii="宋体" w:hAnsi="宋体"/>
          <w:szCs w:val="21"/>
        </w:rPr>
        <w:t>5</w:t>
      </w:r>
      <w:r w:rsidRPr="008A25EB">
        <w:rPr>
          <w:rFonts w:ascii="宋体" w:hAnsi="宋体" w:hint="eastAsia"/>
          <w:szCs w:val="21"/>
        </w:rPr>
        <w:t>岁及2</w:t>
      </w:r>
      <w:r w:rsidRPr="008A25EB">
        <w:rPr>
          <w:rFonts w:ascii="宋体" w:hAnsi="宋体"/>
          <w:szCs w:val="21"/>
        </w:rPr>
        <w:t>0</w:t>
      </w:r>
      <w:r w:rsidRPr="008A25EB">
        <w:rPr>
          <w:rFonts w:ascii="宋体" w:hAnsi="宋体" w:hint="eastAsia"/>
          <w:szCs w:val="21"/>
        </w:rPr>
        <w:t>至6</w:t>
      </w:r>
      <w:r w:rsidRPr="008A25EB">
        <w:rPr>
          <w:rFonts w:ascii="宋体" w:hAnsi="宋体"/>
          <w:szCs w:val="21"/>
        </w:rPr>
        <w:t>5</w:t>
      </w:r>
      <w:r w:rsidRPr="008A25EB">
        <w:rPr>
          <w:rFonts w:ascii="宋体" w:hAnsi="宋体" w:hint="eastAsia"/>
          <w:szCs w:val="21"/>
        </w:rPr>
        <w:t>岁间的人口将上升8</w:t>
      </w:r>
      <w:r w:rsidRPr="008A25EB">
        <w:rPr>
          <w:rFonts w:ascii="宋体" w:hAnsi="宋体"/>
          <w:szCs w:val="21"/>
        </w:rPr>
        <w:t>0%</w:t>
      </w:r>
      <w:r w:rsidRPr="008A25EB">
        <w:rPr>
          <w:rFonts w:ascii="宋体" w:hAnsi="宋体" w:hint="eastAsia"/>
          <w:szCs w:val="21"/>
        </w:rPr>
        <w:t>。</w:t>
      </w:r>
      <w:r w:rsidR="007077EC" w:rsidRPr="008A25EB">
        <w:rPr>
          <w:rFonts w:ascii="宋体" w:hAnsi="宋体" w:hint="eastAsia"/>
          <w:szCs w:val="21"/>
        </w:rPr>
        <w:t>这一转变的发生有两个原因：</w:t>
      </w:r>
      <w:r w:rsidR="009B2A51" w:rsidRPr="008A25EB">
        <w:rPr>
          <w:rFonts w:ascii="宋体" w:hAnsi="宋体" w:hint="eastAsia"/>
          <w:szCs w:val="21"/>
        </w:rPr>
        <w:t>人们的寿命变长了，并且许多伴侣开始生育更少的孩子，并在人生的较晚阶段选择生育。由此产生的人口转变将给国家带来经济挑战，既要承担成本，也要利用老龄化人口的优势。</w:t>
      </w:r>
    </w:p>
    <w:p w14:paraId="2657B2CD" w14:textId="77777777" w:rsidR="002F00DB" w:rsidRDefault="002F00DB" w:rsidP="009B2A51">
      <w:pPr>
        <w:ind w:firstLineChars="200" w:firstLine="420"/>
        <w:rPr>
          <w:i/>
          <w:iCs/>
          <w:szCs w:val="21"/>
        </w:rPr>
      </w:pPr>
    </w:p>
    <w:p w14:paraId="3FD35694" w14:textId="6070C16B" w:rsidR="009B2A51" w:rsidRDefault="009B2A51" w:rsidP="009B2A51">
      <w:pPr>
        <w:ind w:firstLineChars="200" w:firstLine="420"/>
        <w:rPr>
          <w:szCs w:val="21"/>
        </w:rPr>
      </w:pPr>
      <w:r w:rsidRPr="008A25EB">
        <w:rPr>
          <w:rFonts w:ascii="宋体" w:hAnsi="宋体" w:hint="eastAsia"/>
          <w:szCs w:val="21"/>
        </w:rPr>
        <w:t>《老龄化与宏观经济：老龄人口的长期影响》</w:t>
      </w:r>
      <w:r w:rsidR="00074F9C" w:rsidRPr="008A25EB">
        <w:rPr>
          <w:rFonts w:ascii="宋体" w:hAnsi="宋体" w:hint="eastAsia"/>
          <w:szCs w:val="21"/>
        </w:rPr>
        <w:t>展示了驱动美国人口老龄化的基础因素，以及人口老龄化的社会影响和国际环境中可能的长期宏观经济</w:t>
      </w:r>
      <w:r w:rsidR="00AF14C8">
        <w:rPr>
          <w:rFonts w:ascii="宋体" w:hAnsi="宋体" w:hint="eastAsia"/>
          <w:szCs w:val="21"/>
        </w:rPr>
        <w:t>效应</w:t>
      </w:r>
      <w:r w:rsidR="00651A17" w:rsidRPr="008A25EB">
        <w:rPr>
          <w:rFonts w:ascii="宋体" w:hAnsi="宋体" w:hint="eastAsia"/>
          <w:szCs w:val="21"/>
        </w:rPr>
        <w:t>。报告发现，虽然人口老龄化并未给国家带来不可逾越的挑战</w:t>
      </w:r>
      <w:r w:rsidR="006D66E8" w:rsidRPr="008A25EB">
        <w:rPr>
          <w:rFonts w:ascii="宋体" w:hAnsi="宋体" w:hint="eastAsia"/>
          <w:szCs w:val="21"/>
        </w:rPr>
        <w:t>，但合理的政策必须被快速实施，以使公司和家庭</w:t>
      </w:r>
      <w:r w:rsidR="00AF14C8">
        <w:rPr>
          <w:rFonts w:ascii="宋体" w:hAnsi="宋体" w:hint="eastAsia"/>
          <w:szCs w:val="21"/>
        </w:rPr>
        <w:t>得以</w:t>
      </w:r>
      <w:r w:rsidR="006D66E8" w:rsidRPr="008A25EB">
        <w:rPr>
          <w:rFonts w:ascii="宋体" w:hAnsi="宋体" w:hint="eastAsia"/>
          <w:szCs w:val="21"/>
        </w:rPr>
        <w:t>做出应对。本书就为未来的家庭消费准备资源与适应新的经济</w:t>
      </w:r>
      <w:r w:rsidR="0017794B">
        <w:rPr>
          <w:rFonts w:ascii="宋体" w:hAnsi="宋体" w:hint="eastAsia"/>
          <w:szCs w:val="21"/>
        </w:rPr>
        <w:t>形势</w:t>
      </w:r>
      <w:r w:rsidR="006D66E8" w:rsidRPr="008A25EB">
        <w:rPr>
          <w:rFonts w:ascii="宋体" w:hAnsi="宋体" w:hint="eastAsia"/>
          <w:szCs w:val="21"/>
        </w:rPr>
        <w:t>提供了四种切实办法。</w:t>
      </w:r>
    </w:p>
    <w:p w14:paraId="1A03260B" w14:textId="77777777" w:rsidR="00E0254C" w:rsidRDefault="00E0254C" w:rsidP="00F552A9">
      <w:pPr>
        <w:rPr>
          <w:szCs w:val="21"/>
        </w:rPr>
      </w:pPr>
    </w:p>
    <w:p w14:paraId="7E612CDC" w14:textId="645CF2C7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19E4D234" w14:textId="4E638834" w:rsidR="00106B1E" w:rsidRDefault="00106B1E" w:rsidP="002F00DB">
      <w:pPr>
        <w:rPr>
          <w:rFonts w:hint="eastAsia"/>
          <w:szCs w:val="21"/>
        </w:rPr>
      </w:pPr>
    </w:p>
    <w:p w14:paraId="5CF5284F" w14:textId="5B6D1F89" w:rsidR="00D1149C" w:rsidRPr="008A25EB" w:rsidRDefault="002F00DB" w:rsidP="002F00DB">
      <w:pPr>
        <w:shd w:val="clear" w:color="auto" w:fill="FFFFFF"/>
        <w:tabs>
          <w:tab w:val="left" w:pos="1736"/>
        </w:tabs>
        <w:ind w:firstLineChars="200" w:firstLine="422"/>
        <w:rPr>
          <w:rFonts w:ascii="宋体" w:hAnsi="宋体"/>
          <w:szCs w:val="21"/>
        </w:rPr>
      </w:pPr>
      <w:r w:rsidRPr="00F552A9">
        <w:rPr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DBDD717" wp14:editId="4F34362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82090" cy="42418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E8" w:rsidRPr="008A25EB">
        <w:rPr>
          <w:rFonts w:ascii="宋体" w:hAnsi="宋体" w:hint="eastAsia"/>
          <w:szCs w:val="21"/>
        </w:rPr>
        <w:t>美国国家科学研究委员会</w:t>
      </w:r>
      <w:r w:rsidR="00AF14C8">
        <w:rPr>
          <w:rFonts w:ascii="宋体" w:hAnsi="宋体" w:hint="eastAsia"/>
          <w:szCs w:val="21"/>
        </w:rPr>
        <w:t>的</w:t>
      </w:r>
      <w:r w:rsidR="0017794B">
        <w:rPr>
          <w:rFonts w:ascii="宋体" w:hAnsi="宋体" w:hint="eastAsia"/>
          <w:szCs w:val="21"/>
        </w:rPr>
        <w:t>人口老龄化长期宏观经济影响委员会</w:t>
      </w:r>
      <w:r w:rsidR="006D66E8" w:rsidRPr="008A25EB">
        <w:rPr>
          <w:rFonts w:ascii="宋体" w:hAnsi="宋体" w:hint="eastAsia"/>
          <w:szCs w:val="21"/>
        </w:rPr>
        <w:t>（</w:t>
      </w:r>
      <w:r w:rsidR="006D66E8" w:rsidRPr="008A25EB">
        <w:rPr>
          <w:szCs w:val="21"/>
        </w:rPr>
        <w:t>National Research Council Committee on the LRMEE of the AUP</w:t>
      </w:r>
      <w:r w:rsidR="006D66E8" w:rsidRPr="008A25EB">
        <w:rPr>
          <w:rFonts w:ascii="宋体" w:hAnsi="宋体" w:hint="eastAsia"/>
          <w:szCs w:val="21"/>
        </w:rPr>
        <w:t>）</w:t>
      </w:r>
      <w:r w:rsidR="00F33865" w:rsidRPr="008A25EB">
        <w:rPr>
          <w:rFonts w:ascii="宋体" w:hAnsi="宋体" w:hint="eastAsia"/>
          <w:szCs w:val="21"/>
        </w:rPr>
        <w:t>是一个特设委员会，该委员会进行的研究有助于阐明美国人口老龄化的长期宏观</w:t>
      </w:r>
      <w:r w:rsidR="00DE7049" w:rsidRPr="008A25EB">
        <w:rPr>
          <w:rFonts w:ascii="宋体" w:hAnsi="宋体" w:hint="eastAsia"/>
          <w:szCs w:val="21"/>
        </w:rPr>
        <w:t>经济影响。该研究的首要重点是人口收入分布扩大</w:t>
      </w:r>
      <w:r w:rsidR="0017794B">
        <w:rPr>
          <w:rFonts w:ascii="宋体" w:hAnsi="宋体" w:hint="eastAsia"/>
          <w:szCs w:val="21"/>
        </w:rPr>
        <w:t>带来</w:t>
      </w:r>
      <w:r w:rsidR="00DE7049" w:rsidRPr="008A25EB">
        <w:rPr>
          <w:rFonts w:ascii="宋体" w:hAnsi="宋体" w:hint="eastAsia"/>
          <w:szCs w:val="21"/>
        </w:rPr>
        <w:t>的影响</w:t>
      </w:r>
      <w:r w:rsidR="000E294D" w:rsidRPr="008A25EB">
        <w:rPr>
          <w:rFonts w:ascii="宋体" w:hAnsi="宋体" w:hint="eastAsia"/>
          <w:szCs w:val="21"/>
        </w:rPr>
        <w:t>和与年龄相关的公共项目的持久度，</w:t>
      </w:r>
      <w:r w:rsidR="0017794B">
        <w:rPr>
          <w:rFonts w:ascii="宋体" w:hAnsi="宋体" w:hint="eastAsia"/>
          <w:szCs w:val="21"/>
        </w:rPr>
        <w:t>以及为了</w:t>
      </w:r>
      <w:r w:rsidR="000E294D" w:rsidRPr="008A25EB">
        <w:rPr>
          <w:rFonts w:ascii="宋体" w:hAnsi="宋体" w:hint="eastAsia"/>
          <w:szCs w:val="21"/>
        </w:rPr>
        <w:t>面对老龄化人口所带来的挑战</w:t>
      </w:r>
      <w:r w:rsidR="0017794B">
        <w:rPr>
          <w:rFonts w:ascii="宋体" w:hAnsi="宋体" w:hint="eastAsia"/>
          <w:szCs w:val="21"/>
        </w:rPr>
        <w:t>而对此类项目进行的改革</w:t>
      </w:r>
      <w:r w:rsidR="000E294D" w:rsidRPr="008A25EB">
        <w:rPr>
          <w:rFonts w:ascii="宋体" w:hAnsi="宋体" w:hint="eastAsia"/>
          <w:szCs w:val="21"/>
        </w:rPr>
        <w:t>。</w:t>
      </w:r>
    </w:p>
    <w:p w14:paraId="2441E025" w14:textId="77777777" w:rsidR="00D1149C" w:rsidRDefault="00D1149C" w:rsidP="00556325">
      <w:pPr>
        <w:shd w:val="clear" w:color="auto" w:fill="FFFFFF"/>
        <w:tabs>
          <w:tab w:val="left" w:pos="1736"/>
        </w:tabs>
        <w:rPr>
          <w:szCs w:val="21"/>
        </w:rPr>
      </w:pPr>
    </w:p>
    <w:p w14:paraId="4C7CDC0D" w14:textId="77777777" w:rsidR="001D5ACE" w:rsidRDefault="001D5ACE" w:rsidP="00556325">
      <w:pPr>
        <w:shd w:val="clear" w:color="auto" w:fill="FFFFFF"/>
        <w:tabs>
          <w:tab w:val="left" w:pos="1736"/>
        </w:tabs>
        <w:rPr>
          <w:szCs w:val="21"/>
        </w:rPr>
      </w:pPr>
    </w:p>
    <w:p w14:paraId="6D12B2CA" w14:textId="77777777" w:rsidR="001D5ACE" w:rsidRDefault="001D5ACE" w:rsidP="00556325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bookmarkStart w:id="1" w:name="_GoBack"/>
      <w:bookmarkEnd w:id="1"/>
    </w:p>
    <w:p w14:paraId="68F80616" w14:textId="7FFCE749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r>
        <w:rPr>
          <w:b/>
          <w:color w:val="000000"/>
          <w:kern w:val="0"/>
          <w:szCs w:val="21"/>
        </w:rPr>
        <w:t>萧涵糠</w:t>
      </w:r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243F0" w14:textId="77777777" w:rsidR="005D4C0B" w:rsidRDefault="005D4C0B">
      <w:r>
        <w:separator/>
      </w:r>
    </w:p>
  </w:endnote>
  <w:endnote w:type="continuationSeparator" w:id="0">
    <w:p w14:paraId="6CE5A026" w14:textId="77777777" w:rsidR="005D4C0B" w:rsidRDefault="005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SimSu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D5AC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B96E0" w14:textId="77777777" w:rsidR="005D4C0B" w:rsidRDefault="005D4C0B">
      <w:r>
        <w:separator/>
      </w:r>
    </w:p>
  </w:footnote>
  <w:footnote w:type="continuationSeparator" w:id="0">
    <w:p w14:paraId="7089D0C6" w14:textId="77777777" w:rsidR="005D4C0B" w:rsidRDefault="005D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4F9C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294D"/>
    <w:rsid w:val="000E7B75"/>
    <w:rsid w:val="000F6E04"/>
    <w:rsid w:val="00104B45"/>
    <w:rsid w:val="00106B1E"/>
    <w:rsid w:val="00115BF1"/>
    <w:rsid w:val="001458F3"/>
    <w:rsid w:val="00146B61"/>
    <w:rsid w:val="00153CF0"/>
    <w:rsid w:val="00157258"/>
    <w:rsid w:val="001712BA"/>
    <w:rsid w:val="0017794B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D5ACE"/>
    <w:rsid w:val="001E141F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00DB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941A3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6BB8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D4C0B"/>
    <w:rsid w:val="005E2A35"/>
    <w:rsid w:val="00602E6C"/>
    <w:rsid w:val="00610C62"/>
    <w:rsid w:val="006134E4"/>
    <w:rsid w:val="00621AAD"/>
    <w:rsid w:val="00640477"/>
    <w:rsid w:val="006453B2"/>
    <w:rsid w:val="00651A17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66E8"/>
    <w:rsid w:val="006D7EAD"/>
    <w:rsid w:val="006F043F"/>
    <w:rsid w:val="006F5920"/>
    <w:rsid w:val="0070392F"/>
    <w:rsid w:val="007077EC"/>
    <w:rsid w:val="00710D20"/>
    <w:rsid w:val="00711B64"/>
    <w:rsid w:val="00727197"/>
    <w:rsid w:val="00730B71"/>
    <w:rsid w:val="00732FAC"/>
    <w:rsid w:val="00736E22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A25EB"/>
    <w:rsid w:val="008B0A5A"/>
    <w:rsid w:val="008B4DCA"/>
    <w:rsid w:val="008B541B"/>
    <w:rsid w:val="008B6AC2"/>
    <w:rsid w:val="008D4D33"/>
    <w:rsid w:val="008F5575"/>
    <w:rsid w:val="009031D4"/>
    <w:rsid w:val="00913635"/>
    <w:rsid w:val="0091777E"/>
    <w:rsid w:val="0092418D"/>
    <w:rsid w:val="00927BD3"/>
    <w:rsid w:val="00940B93"/>
    <w:rsid w:val="009523DA"/>
    <w:rsid w:val="0096089F"/>
    <w:rsid w:val="00961AEF"/>
    <w:rsid w:val="0096731A"/>
    <w:rsid w:val="00984B4F"/>
    <w:rsid w:val="00985FAE"/>
    <w:rsid w:val="009B0A1B"/>
    <w:rsid w:val="009B2A51"/>
    <w:rsid w:val="009C2F45"/>
    <w:rsid w:val="009C50AB"/>
    <w:rsid w:val="009D0C58"/>
    <w:rsid w:val="009F2E9C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14C8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4DE0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C5621"/>
    <w:rsid w:val="00BD5420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43DC"/>
    <w:rsid w:val="00C903F7"/>
    <w:rsid w:val="00C93394"/>
    <w:rsid w:val="00CB6825"/>
    <w:rsid w:val="00CC39F3"/>
    <w:rsid w:val="00CD2007"/>
    <w:rsid w:val="00CE468D"/>
    <w:rsid w:val="00CE67B4"/>
    <w:rsid w:val="00CE78BE"/>
    <w:rsid w:val="00CF1BAD"/>
    <w:rsid w:val="00CF5AFB"/>
    <w:rsid w:val="00D1149C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E7049"/>
    <w:rsid w:val="00DF78DA"/>
    <w:rsid w:val="00E0254C"/>
    <w:rsid w:val="00E150B3"/>
    <w:rsid w:val="00E17EE6"/>
    <w:rsid w:val="00E2561F"/>
    <w:rsid w:val="00E278CB"/>
    <w:rsid w:val="00E367D0"/>
    <w:rsid w:val="00E47D1D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A0455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2781E"/>
    <w:rsid w:val="00F30CA5"/>
    <w:rsid w:val="00F33865"/>
    <w:rsid w:val="00F3449F"/>
    <w:rsid w:val="00F352AE"/>
    <w:rsid w:val="00F43108"/>
    <w:rsid w:val="00F552A9"/>
    <w:rsid w:val="00F70C16"/>
    <w:rsid w:val="00F74D56"/>
    <w:rsid w:val="00F8540D"/>
    <w:rsid w:val="00F937AD"/>
    <w:rsid w:val="00F96A53"/>
    <w:rsid w:val="00F978A8"/>
    <w:rsid w:val="00FB1844"/>
    <w:rsid w:val="00FC7852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CF1B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3Char">
    <w:name w:val="标题 3 Char"/>
    <w:basedOn w:val="a0"/>
    <w:link w:val="3"/>
    <w:semiHidden/>
    <w:rsid w:val="00CF1BA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2022-06-14T01:31:00Z</dcterms:created>
  <dcterms:modified xsi:type="dcterms:W3CDTF">2022-06-14T01:31:00Z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