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8" w:name="_GoBack"/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36195</wp:posOffset>
            </wp:positionV>
            <wp:extent cx="1072515" cy="1697355"/>
            <wp:effectExtent l="0" t="0" r="13335" b="17145"/>
            <wp:wrapSquare wrapText="bothSides"/>
            <wp:docPr id="1" name="图片 1" descr="H:/安德鲁/书讯/231129/61E-XpknJyL._SY425_.jpg61E-XpknJy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231129/61E-XpknJyL._SY425_.jpg61E-XpknJy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t="1613" b="1613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星空：对话康德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The starry sky above me: A conversation about Kant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i/>
          <w:iCs/>
          <w:szCs w:val="21"/>
          <w:lang w:val="en-US" w:eastAsia="zh-CN"/>
        </w:rPr>
      </w:pPr>
      <w:r>
        <w:rPr>
          <w:rFonts w:hint="eastAsia"/>
          <w:b/>
          <w:bCs/>
          <w:i w:val="0"/>
          <w:iCs w:val="0"/>
          <w:szCs w:val="21"/>
          <w:lang w:val="en-US" w:eastAsia="zh-CN"/>
        </w:rPr>
        <w:t>德文书名：Der bestirnte Himmel über mir: Ein Gespräch über Kant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Omri Boehm</w:t>
      </w:r>
      <w:r>
        <w:rPr>
          <w:rFonts w:hint="eastAsia"/>
          <w:b/>
          <w:bCs/>
          <w:szCs w:val="21"/>
          <w:lang w:val="en-US" w:eastAsia="zh-CN"/>
        </w:rPr>
        <w:t xml:space="preserve"> and </w:t>
      </w:r>
      <w:r>
        <w:rPr>
          <w:rFonts w:hint="eastAsia"/>
          <w:b/>
          <w:bCs/>
          <w:szCs w:val="21"/>
        </w:rPr>
        <w:t xml:space="preserve">Daniel Kehlmann  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Propylaea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Ullstein</w:t>
      </w:r>
      <w:r>
        <w:rPr>
          <w:rFonts w:hint="eastAsia"/>
          <w:b/>
          <w:bCs/>
          <w:szCs w:val="21"/>
          <w:lang w:val="en-US" w:eastAsia="zh-CN"/>
        </w:rPr>
        <w:t>/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2024年2月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256页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大众哲学</w:t>
      </w:r>
    </w:p>
    <w:bookmarkEnd w:id="8"/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当代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备受瞩目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的两位思想家对话康德和启蒙精神。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300年前，伊曼纽尔-康德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Immanuel Kant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在哥尼斯堡出生。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300年后的今天，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畅销书作家丹尼尔-克尔曼（Daniel Kehlmann）和国际知名哲学家奥姆里-博姆（Omri Boehm）聚首一堂，就康德展开一系列对话，将这位大师的学说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主张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带入困扰当代社会的问题之中。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两位思想家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的对话以鼓舞人心的好奇心和决心为动力，探讨了康德所说的 "人类的基本问题"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"fundamental questions of the human being"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：你能知道什么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应该做什么，以及能期待什么。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博姆和克尔曼娓娓道来的笔调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非常读者友好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两人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分解了康德复杂的文本，并将康德的思想应用于当前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社会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面临的最紧迫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议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题。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此外，两人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从理性和幻觉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谈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到种族主义、殖民主义和启蒙运动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从空间和时间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谈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到自由、艺术、正义和邪恶问题；从科学到信仰，从自我到上帝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论述范围广泛。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这两位高超的思想家证明，即使在三个世纪之后，阅读和讨论康德也能为当前的问题提供重要的答案。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  <w:jc w:val="both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  <w:bookmarkStart w:id="4" w:name="OLE_LINK45"/>
      <w:bookmarkStart w:id="5" w:name="OLE_LINK43"/>
      <w:bookmarkStart w:id="6" w:name="OLE_LINK38"/>
      <w:bookmarkStart w:id="7" w:name="OLE_LINK44"/>
      <w:r>
        <w:rPr>
          <w:rFonts w:hint="default" w:ascii="Times New Roman" w:hAnsi="Times New Roman" w:eastAsia="TimesNewRomanRegular" w:cs="Times New Roman"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75565</wp:posOffset>
            </wp:positionV>
            <wp:extent cx="1591310" cy="1028065"/>
            <wp:effectExtent l="0" t="0" r="8890" b="635"/>
            <wp:wrapSquare wrapText="bothSides"/>
            <wp:docPr id="2" name="图片 2" descr="H:/安德鲁/书讯/231129/71UnECZfxyL._SX679_.jpg71UnECZfxyL._SX67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/安德鲁/书讯/231129/71UnECZfxyL._SX679_.jpg71UnECZfxyL._SX679_"/>
                    <pic:cNvPicPr>
                      <a:picLocks noChangeAspect="1"/>
                    </pic:cNvPicPr>
                  </pic:nvPicPr>
                  <pic:blipFill>
                    <a:blip r:embed="rId7"/>
                    <a:srcRect t="1596" b="1596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奥姆里·保汉（Omri Boehm）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是纽约新社会研究学院哲学系副教授兼系主任。他是以色列和德国公民，曾在慕尼黑和柏林等地从事研究工作。他在《国土报》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eastAsia="zh-CN"/>
        </w:rPr>
        <w:t>Haaretz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、《时代报》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eastAsia="zh-CN"/>
        </w:rPr>
        <w:t>Die Zeit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和《纽约时报》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eastAsia="zh-CN"/>
        </w:rPr>
        <w:t>The New York Times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等报刊上撰写有关以色列、政治和哲学的文章。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他由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Propyläen出版的《以色列-乌托邦》（海法共和国）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eastAsia="zh-CN"/>
        </w:rPr>
        <w:t>Israel- A Utopia (Haifa Republic)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和《激进的普世主义》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eastAsia="zh-CN"/>
        </w:rPr>
        <w:t>Radical Universalis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val="en-US" w:eastAsia="zh-CN"/>
        </w:rPr>
        <w:t>m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  <w:t>广受好评。</w:t>
      </w:r>
    </w:p>
    <w:p>
      <w:pPr>
        <w:pStyle w:val="40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b w:val="0"/>
          <w:bCs w:val="0"/>
          <w:color w:val="000000"/>
          <w:szCs w:val="21"/>
        </w:rPr>
      </w:pPr>
      <w:r>
        <w:rPr>
          <w:rFonts w:hint="default" w:ascii="Times New Roman" w:hAnsi="Times New Roman" w:eastAsia="TimesNewRomanRegular" w:cs="Times New Roman"/>
          <w:color w:val="000000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62865</wp:posOffset>
            </wp:positionV>
            <wp:extent cx="1591310" cy="1028065"/>
            <wp:effectExtent l="0" t="0" r="8890" b="635"/>
            <wp:wrapSquare wrapText="bothSides"/>
            <wp:docPr id="5" name="图片 5" descr="H:/安德鲁/书讯/231129/71CHsaWwzjL._SX679_.jpg71CHsaWwzjL._SX67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31129/71CHsaWwzjL._SX679_.jpg71CHsaWwzjL._SX679_"/>
                    <pic:cNvPicPr>
                      <a:picLocks noChangeAspect="1"/>
                    </pic:cNvPicPr>
                  </pic:nvPicPr>
                  <pic:blipFill>
                    <a:blip r:embed="rId8"/>
                    <a:srcRect t="1596" b="1596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丹尼尔-克尔曼</w:t>
      </w:r>
      <w:r>
        <w:rPr>
          <w:rFonts w:hint="eastAsia"/>
          <w:b/>
          <w:bCs/>
          <w:color w:val="000000"/>
          <w:szCs w:val="21"/>
          <w:lang w:eastAsia="zh-CN"/>
        </w:rPr>
        <w:t>（Daniel Kehlmann）</w:t>
      </w:r>
      <w:r>
        <w:rPr>
          <w:rFonts w:hint="eastAsia"/>
          <w:b w:val="0"/>
          <w:bCs w:val="0"/>
          <w:color w:val="000000"/>
          <w:szCs w:val="21"/>
        </w:rPr>
        <w:t>曾攻读哲学和德国文学。他的作品曾多次获奖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</w:rPr>
        <w:t>小说《测量世界》（Die Vermessung der Welt）是战后德国最成功的小说之一，畅销书《泰尔》（</w:t>
      </w:r>
      <w:r>
        <w:rPr>
          <w:rFonts w:hint="eastAsia"/>
          <w:b w:val="0"/>
          <w:bCs w:val="0"/>
          <w:i/>
          <w:iCs/>
          <w:color w:val="000000"/>
          <w:szCs w:val="21"/>
        </w:rPr>
        <w:t>Tyll</w:t>
      </w:r>
      <w:r>
        <w:rPr>
          <w:rFonts w:hint="eastAsia"/>
          <w:b w:val="0"/>
          <w:bCs w:val="0"/>
          <w:color w:val="000000"/>
          <w:szCs w:val="21"/>
        </w:rPr>
        <w:t>）入围2020年国际布克奖。丹尼尔-克尔曼现居柏林。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adraatHeadlinerOffcPr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7716FC5"/>
    <w:rsid w:val="097E11FF"/>
    <w:rsid w:val="0AAE74B9"/>
    <w:rsid w:val="13247DF6"/>
    <w:rsid w:val="192B10E6"/>
    <w:rsid w:val="1B5944E3"/>
    <w:rsid w:val="1BB73608"/>
    <w:rsid w:val="1CB57F3C"/>
    <w:rsid w:val="22AC4A6F"/>
    <w:rsid w:val="239437CD"/>
    <w:rsid w:val="2B6A23CA"/>
    <w:rsid w:val="2D3D2D45"/>
    <w:rsid w:val="300417D3"/>
    <w:rsid w:val="38C345DA"/>
    <w:rsid w:val="391E5FA3"/>
    <w:rsid w:val="3D5E0B64"/>
    <w:rsid w:val="3E122463"/>
    <w:rsid w:val="413D1BB0"/>
    <w:rsid w:val="41787651"/>
    <w:rsid w:val="489D136C"/>
    <w:rsid w:val="499F13E5"/>
    <w:rsid w:val="49F716EE"/>
    <w:rsid w:val="51BE57EE"/>
    <w:rsid w:val="5BB90387"/>
    <w:rsid w:val="64615D3C"/>
    <w:rsid w:val="647153D0"/>
    <w:rsid w:val="65BC6B1F"/>
    <w:rsid w:val="6FAD1286"/>
    <w:rsid w:val="708A512E"/>
    <w:rsid w:val="7A68455E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244</Words>
  <Characters>1391</Characters>
  <Lines>11</Lines>
  <Paragraphs>3</Paragraphs>
  <TotalTime>15</TotalTime>
  <ScaleCrop>false</ScaleCrop>
  <LinksUpToDate>false</LinksUpToDate>
  <CharactersWithSpaces>1632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2023-11-09T10:24:00Z</dcterms:created>
  <dc:creator>Image</dc:creator>
  <cp:lastModifiedBy>堀  达</cp:lastModifiedBy>
  <cp:lastPrinted>2005-06-10T06:33:00Z</cp:lastPrinted>
  <dcterms:modified xsi:type="dcterms:W3CDTF">2023-11-29T07:53:51Z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4F79A5EEEE2A441284885F471E9A7804_13</vt:lpwstr>
  </property>
</Properties>
</file>