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74295</wp:posOffset>
            </wp:positionV>
            <wp:extent cx="1193165" cy="1800225"/>
            <wp:effectExtent l="0" t="0" r="7620" b="0"/>
            <wp:wrapSquare wrapText="bothSides"/>
            <wp:docPr id="63933527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3527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0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szCs w:val="21"/>
        </w:rPr>
        <w:t>控制寡头：亿万富豪的秘密交易以及全球主义者主宰大众生活的阴谋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b/>
          <w:bCs/>
          <w:i/>
          <w:iCs/>
          <w:szCs w:val="21"/>
        </w:rPr>
        <w:t>Controligarchs : Exposing the Billionaire Class, their Secret Deals, and the Globalist Plot to Dominate Your Life</w:t>
      </w:r>
    </w:p>
    <w:bookmarkEnd w:id="2"/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者：Seamus Bruner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  <w:lang w:val="fr-FR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  <w:lang w:val="fr-FR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  <w:lang w:val="fr-FR"/>
        </w:rPr>
        <w:t xml:space="preserve"> </w:t>
      </w:r>
      <w:r>
        <w:rPr>
          <w:b/>
          <w:bCs/>
          <w:kern w:val="0"/>
          <w:szCs w:val="21"/>
        </w:rPr>
        <w:t>社</w:t>
      </w:r>
      <w:r>
        <w:rPr>
          <w:b/>
          <w:bCs/>
          <w:kern w:val="0"/>
          <w:szCs w:val="21"/>
          <w:lang w:val="fr-FR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Penguin/</w:t>
      </w:r>
      <w:r>
        <w:rPr>
          <w:b/>
          <w:bCs/>
          <w:kern w:val="0"/>
          <w:szCs w:val="21"/>
          <w:lang w:val="fr-FR"/>
        </w:rPr>
        <w:t>Sentinel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  <w:lang w:val="fr-FR"/>
        </w:rPr>
      </w:pPr>
      <w:r>
        <w:rPr>
          <w:b/>
          <w:bCs/>
          <w:kern w:val="0"/>
          <w:szCs w:val="21"/>
        </w:rPr>
        <w:t>代理公司</w:t>
      </w:r>
      <w:r>
        <w:rPr>
          <w:b/>
          <w:bCs/>
          <w:kern w:val="0"/>
          <w:szCs w:val="21"/>
          <w:lang w:val="fr-FR"/>
        </w:rPr>
        <w:t>：ANA/Lauren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：384页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2036"/>
        </w:tabs>
        <w:spacing w:line="280" w:lineRule="exac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bookmarkStart w:id="4" w:name="_GoBack"/>
      <w:bookmarkEnd w:id="4"/>
      <w:r>
        <w:rPr>
          <w:rFonts w:hint="eastAsia"/>
          <w:b/>
          <w:bCs/>
          <w:szCs w:val="21"/>
          <w:lang w:val="en-US" w:eastAsia="zh-CN"/>
        </w:rPr>
        <w:t>大众社科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EE7612"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“《控制寡头》窥见未来，揭露了全球主义精英未来五年的游戏规则，引人入胜，发人深省”。</w:t>
      </w:r>
    </w:p>
    <w:p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——彼得·施韦泽（</w:t>
      </w:r>
      <w:r>
        <w:rPr>
          <w:b/>
          <w:bCs/>
          <w:szCs w:val="21"/>
        </w:rPr>
        <w:t>Peter Schweizer</w:t>
      </w:r>
      <w:r>
        <w:rPr>
          <w:rFonts w:hint="eastAsia"/>
          <w:b/>
          <w:bCs/>
          <w:szCs w:val="21"/>
        </w:rPr>
        <w:t>），</w:t>
      </w:r>
      <w:r>
        <w:rPr>
          <w:b/>
          <w:bCs/>
          <w:i/>
          <w:iCs/>
          <w:szCs w:val="21"/>
        </w:rPr>
        <w:t>Red-Handed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i/>
          <w:iCs/>
          <w:szCs w:val="21"/>
        </w:rPr>
        <w:t>Clinton Cas</w:t>
      </w:r>
      <w:r>
        <w:rPr>
          <w:rFonts w:hint="eastAsia"/>
          <w:b/>
          <w:bCs/>
          <w:i/>
          <w:iCs/>
          <w:szCs w:val="21"/>
        </w:rPr>
        <w:t>h</w:t>
      </w:r>
      <w:r>
        <w:rPr>
          <w:rFonts w:hint="eastAsia"/>
          <w:b/>
          <w:bCs/>
          <w:szCs w:val="21"/>
        </w:rPr>
        <w:t>和</w:t>
      </w:r>
      <w:r>
        <w:rPr>
          <w:b/>
          <w:bCs/>
          <w:i/>
          <w:iCs/>
          <w:szCs w:val="21"/>
        </w:rPr>
        <w:t>Profiles in Corruption</w:t>
      </w:r>
      <w:r>
        <w:rPr>
          <w:rFonts w:hint="eastAsia"/>
          <w:b/>
          <w:bCs/>
          <w:szCs w:val="21"/>
        </w:rPr>
        <w:t>的作者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 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想象一下这样</w:t>
      </w:r>
      <w:r>
        <w:rPr>
          <w:rFonts w:hint="eastAsia"/>
          <w:szCs w:val="21"/>
          <w:lang w:val="en-US" w:eastAsia="zh-CN"/>
        </w:rPr>
        <w:t>的</w:t>
      </w:r>
      <w:r>
        <w:rPr>
          <w:rFonts w:hint="eastAsia"/>
          <w:szCs w:val="21"/>
        </w:rPr>
        <w:t>世界：</w:t>
      </w:r>
      <w:r>
        <w:rPr>
          <w:rFonts w:hint="eastAsia"/>
          <w:szCs w:val="21"/>
          <w:lang w:val="en-US" w:eastAsia="zh-CN"/>
        </w:rPr>
        <w:t>全部的人</w:t>
      </w:r>
      <w:r>
        <w:rPr>
          <w:rFonts w:hint="eastAsia"/>
          <w:szCs w:val="21"/>
        </w:rPr>
        <w:t>一无所有，</w:t>
      </w:r>
      <w:r>
        <w:rPr>
          <w:rFonts w:hint="eastAsia"/>
          <w:szCs w:val="21"/>
          <w:lang w:val="en-US" w:eastAsia="zh-CN"/>
        </w:rPr>
        <w:t>一切</w:t>
      </w:r>
      <w:r>
        <w:rPr>
          <w:rFonts w:hint="eastAsia"/>
          <w:szCs w:val="21"/>
        </w:rPr>
        <w:t>东西都是租来的，饮食中的大部分蛋白质都来自虫子。</w:t>
      </w:r>
      <w:r>
        <w:rPr>
          <w:rFonts w:hint="eastAsia"/>
          <w:szCs w:val="21"/>
          <w:lang w:val="en-US" w:eastAsia="zh-CN"/>
        </w:rPr>
        <w:t>每个家庭</w:t>
      </w:r>
      <w:r>
        <w:rPr>
          <w:rFonts w:hint="eastAsia"/>
          <w:szCs w:val="21"/>
        </w:rPr>
        <w:t>只允许生一个孩子，财务和医疗数据会通过人体皮下微芯片即时传输到中央政府数据库。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《控制寡头》敲响了警钟，提醒大家，如果让世界经济论坛上的超国家主义精英们（supernational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elites）得逞，这</w:t>
      </w:r>
      <w:r>
        <w:rPr>
          <w:rFonts w:hint="eastAsia"/>
          <w:szCs w:val="21"/>
          <w:lang w:val="en-US" w:eastAsia="zh-CN"/>
        </w:rPr>
        <w:t>就会</w:t>
      </w:r>
      <w:r>
        <w:rPr>
          <w:rFonts w:hint="eastAsia"/>
          <w:szCs w:val="21"/>
        </w:rPr>
        <w:t>是未来的生存状态。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在本书中，调查记者西默斯·布鲁纳（Seamus Bruner）</w:t>
      </w:r>
      <w:r>
        <w:rPr>
          <w:rFonts w:hint="eastAsia"/>
          <w:szCs w:val="21"/>
          <w:lang w:val="en-US" w:eastAsia="zh-CN"/>
        </w:rPr>
        <w:t>深入挖掘</w:t>
      </w:r>
      <w:r>
        <w:rPr>
          <w:rFonts w:hint="eastAsia"/>
          <w:szCs w:val="21"/>
        </w:rPr>
        <w:t>了控制着生活方方面面权力杠杆的亿万富翁们。布鲁纳团队的调查结果曾</w:t>
      </w:r>
      <w:r>
        <w:rPr>
          <w:rFonts w:hint="eastAsia"/>
          <w:szCs w:val="21"/>
          <w:lang w:val="en-US" w:eastAsia="zh-CN"/>
        </w:rPr>
        <w:t>一度</w:t>
      </w:r>
      <w:r>
        <w:rPr>
          <w:rFonts w:hint="eastAsia"/>
          <w:szCs w:val="21"/>
        </w:rPr>
        <w:t>引发联邦调查局对克林顿夫妇和拜登夫妇的多项调查和国会调查。</w:t>
      </w:r>
    </w:p>
    <w:p>
      <w:pPr>
        <w:ind w:firstLine="422" w:firstLineChars="200"/>
        <w:rPr>
          <w:b/>
          <w:bCs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本书极具开创性，读者将知道：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- 比尔·盖茨117亿美元的食品收购计划，以及他抢购美国农田的真正原因；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- 马克·扎克伯格斥资360亿美元重塑社会并</w:t>
      </w:r>
      <w:r>
        <w:rPr>
          <w:rFonts w:hint="eastAsia"/>
          <w:szCs w:val="21"/>
          <w:lang w:val="en-US" w:eastAsia="zh-CN"/>
        </w:rPr>
        <w:t>让人</w:t>
      </w:r>
      <w:r>
        <w:rPr>
          <w:rFonts w:hint="eastAsia"/>
          <w:szCs w:val="21"/>
        </w:rPr>
        <w:t>沉迷科技的阴谋；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- 杰夫·贝索斯由纳税人资助的电动汽车野心、对气候的虚伪态度，以及耗资12亿美元</w:t>
      </w:r>
      <w:r>
        <w:rPr>
          <w:rFonts w:hint="eastAsia"/>
          <w:szCs w:val="21"/>
          <w:lang w:val="en-US" w:eastAsia="zh-CN"/>
        </w:rPr>
        <w:t>用</w:t>
      </w:r>
      <w:r>
        <w:rPr>
          <w:rFonts w:hint="eastAsia"/>
          <w:szCs w:val="21"/>
        </w:rPr>
        <w:t>“智能”家居来监视</w:t>
      </w:r>
      <w:r>
        <w:rPr>
          <w:rFonts w:hint="eastAsia"/>
          <w:szCs w:val="21"/>
          <w:lang w:val="en-US" w:eastAsia="zh-CN"/>
        </w:rPr>
        <w:t>用户生活</w:t>
      </w:r>
      <w:r>
        <w:rPr>
          <w:rFonts w:hint="eastAsia"/>
          <w:szCs w:val="21"/>
        </w:rPr>
        <w:t>的计划；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- 索罗斯家族利用其250亿美元帝国影响未来50年选举和社会的计划 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- 世界经济论坛（WEF）创始人克劳斯·施瓦布（Klaus Schwab）如何在达沃斯建立起一个专属俱乐部，俱乐部</w:t>
      </w:r>
      <w:r>
        <w:rPr>
          <w:rFonts w:hint="eastAsia"/>
          <w:szCs w:val="21"/>
          <w:lang w:val="en-US" w:eastAsia="zh-CN"/>
        </w:rPr>
        <w:t>中</w:t>
      </w:r>
      <w:r>
        <w:rPr>
          <w:rFonts w:hint="eastAsia"/>
          <w:szCs w:val="21"/>
        </w:rPr>
        <w:t>目前身价已超过10万亿美元的世界经济论坛前25名成员拥有比世界上大多数国家政府更多的经济权力，</w:t>
      </w:r>
      <w:r>
        <w:rPr>
          <w:rFonts w:hint="eastAsia"/>
          <w:szCs w:val="21"/>
          <w:lang w:val="en-US" w:eastAsia="zh-CN"/>
        </w:rPr>
        <w:t>这些人</w:t>
      </w:r>
      <w:r>
        <w:rPr>
          <w:rFonts w:hint="eastAsia"/>
          <w:szCs w:val="21"/>
        </w:rPr>
        <w:t>将如何掌控我们的未来？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《</w:t>
      </w:r>
      <w:bookmarkStart w:id="3" w:name="_Hlk153835933"/>
      <w:r>
        <w:rPr>
          <w:rFonts w:hint="eastAsia"/>
          <w:szCs w:val="21"/>
        </w:rPr>
        <w:t>控制寡头</w:t>
      </w:r>
      <w:bookmarkEnd w:id="3"/>
      <w:r>
        <w:rPr>
          <w:rFonts w:hint="eastAsia"/>
          <w:szCs w:val="21"/>
        </w:rPr>
        <w:t>》根据成山的财务文件、内幕文件和公司记录，拨云见日，揭示了全球精英为所有人设计好的改变生活计划。对于所有珍视美国独立精神和个人自由的人，这是一本必读书。</w:t>
      </w:r>
    </w:p>
    <w:p>
      <w:pPr>
        <w:ind w:firstLine="420" w:firstLineChars="200"/>
      </w:pPr>
      <w:r>
        <w:rPr>
          <w:szCs w:val="21"/>
        </w:rPr>
        <w:t xml:space="preserve"> </w:t>
      </w: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b/>
          <w:bCs/>
          <w:color w:val="000000"/>
        </w:rPr>
      </w:pPr>
    </w:p>
    <w:p>
      <w:pPr>
        <w:ind w:firstLine="422" w:firstLineChars="200"/>
        <w:rPr>
          <w:color w:val="000000"/>
          <w:kern w:val="0"/>
          <w:szCs w:val="21"/>
        </w:rPr>
      </w:pPr>
      <w:r>
        <w:rPr>
          <w:b/>
          <w:bCs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26035</wp:posOffset>
            </wp:positionV>
            <wp:extent cx="720725" cy="719455"/>
            <wp:effectExtent l="0" t="0" r="3175" b="4445"/>
            <wp:wrapSquare wrapText="bothSides"/>
            <wp:docPr id="9162115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211545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西默斯·布鲁纳（Seamus Bruner）</w:t>
      </w:r>
      <w:r>
        <w:rPr>
          <w:color w:val="000000"/>
          <w:kern w:val="0"/>
          <w:szCs w:val="21"/>
        </w:rPr>
        <w:t>是政府问责研究所 (GAI) 的研究副主任。他自2011年6月起与</w:t>
      </w:r>
      <w:r>
        <w:rPr>
          <w:szCs w:val="21"/>
        </w:rPr>
        <w:t>彼得·施韦泽（Peter Schweizer）</w:t>
      </w:r>
      <w:r>
        <w:rPr>
          <w:color w:val="000000"/>
          <w:kern w:val="0"/>
          <w:szCs w:val="21"/>
        </w:rPr>
        <w:t>合作，自2013年1月起与GAI合作，为《纽约时报》的众多畅销书提供研究和支持。</w:t>
      </w:r>
      <w:r>
        <w:rPr>
          <w:szCs w:val="21"/>
        </w:rPr>
        <w:t>他是《妥协》（</w:t>
      </w:r>
      <w:r>
        <w:rPr>
          <w:i/>
          <w:iCs/>
          <w:szCs w:val="21"/>
        </w:rPr>
        <w:t>Compromised</w:t>
      </w:r>
      <w:r>
        <w:rPr>
          <w:szCs w:val="21"/>
        </w:rPr>
        <w:t>）和《余波》（</w:t>
      </w:r>
      <w:r>
        <w:rPr>
          <w:i/>
          <w:iCs/>
          <w:szCs w:val="21"/>
        </w:rPr>
        <w:t>Fallout</w:t>
      </w:r>
      <w:r>
        <w:rPr>
          <w:szCs w:val="21"/>
        </w:rPr>
        <w:t>）的作者，</w:t>
      </w:r>
      <w:r>
        <w:rPr>
          <w:color w:val="000000"/>
          <w:kern w:val="0"/>
          <w:szCs w:val="21"/>
        </w:rPr>
        <w:t>这些研究曾登上《纽约时报》、《华尔街日报》和《华盛顿邮报》等顶级刊物的头版头条，并多次被60 Minutes曝光。布鲁纳曾在国家电视台和广播电台讨论过他的研究成果。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82098"/>
    <w:rsid w:val="000911ED"/>
    <w:rsid w:val="000B417C"/>
    <w:rsid w:val="000B760E"/>
    <w:rsid w:val="000C0EAD"/>
    <w:rsid w:val="000C4196"/>
    <w:rsid w:val="000E2488"/>
    <w:rsid w:val="000E6D3C"/>
    <w:rsid w:val="000F2E47"/>
    <w:rsid w:val="000F5A4A"/>
    <w:rsid w:val="00106497"/>
    <w:rsid w:val="001212DC"/>
    <w:rsid w:val="00123785"/>
    <w:rsid w:val="0012717F"/>
    <w:rsid w:val="00140ADA"/>
    <w:rsid w:val="001616BB"/>
    <w:rsid w:val="00167885"/>
    <w:rsid w:val="001715F9"/>
    <w:rsid w:val="00174EB1"/>
    <w:rsid w:val="00190562"/>
    <w:rsid w:val="001909FF"/>
    <w:rsid w:val="00194884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0CB7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46A63"/>
    <w:rsid w:val="00363E65"/>
    <w:rsid w:val="003745D8"/>
    <w:rsid w:val="00377FA0"/>
    <w:rsid w:val="00390492"/>
    <w:rsid w:val="00390AEC"/>
    <w:rsid w:val="0039596A"/>
    <w:rsid w:val="003A36BB"/>
    <w:rsid w:val="003B2819"/>
    <w:rsid w:val="003B55BC"/>
    <w:rsid w:val="003C107D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934FB"/>
    <w:rsid w:val="00594335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B00E1"/>
    <w:rsid w:val="006B5B9D"/>
    <w:rsid w:val="00702E0E"/>
    <w:rsid w:val="00704C3E"/>
    <w:rsid w:val="007070DF"/>
    <w:rsid w:val="00742D59"/>
    <w:rsid w:val="00757985"/>
    <w:rsid w:val="0078207F"/>
    <w:rsid w:val="007B1756"/>
    <w:rsid w:val="007B3AEA"/>
    <w:rsid w:val="007B3FCA"/>
    <w:rsid w:val="007C4665"/>
    <w:rsid w:val="007D2630"/>
    <w:rsid w:val="007E4967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944B5"/>
    <w:rsid w:val="008A30DA"/>
    <w:rsid w:val="008A509B"/>
    <w:rsid w:val="008C26BA"/>
    <w:rsid w:val="008C3906"/>
    <w:rsid w:val="008C3E01"/>
    <w:rsid w:val="008C6377"/>
    <w:rsid w:val="008D05C1"/>
    <w:rsid w:val="008D3CCB"/>
    <w:rsid w:val="008D45CB"/>
    <w:rsid w:val="008E241D"/>
    <w:rsid w:val="008E5F24"/>
    <w:rsid w:val="008F7EC6"/>
    <w:rsid w:val="00936274"/>
    <w:rsid w:val="00941D72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25B3"/>
    <w:rsid w:val="00B3723D"/>
    <w:rsid w:val="00B43D20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A5A79"/>
    <w:rsid w:val="00CB4CF3"/>
    <w:rsid w:val="00CC0B53"/>
    <w:rsid w:val="00CC0E69"/>
    <w:rsid w:val="00CD6C41"/>
    <w:rsid w:val="00CF616F"/>
    <w:rsid w:val="00D04F34"/>
    <w:rsid w:val="00D24C38"/>
    <w:rsid w:val="00D369F9"/>
    <w:rsid w:val="00D406D5"/>
    <w:rsid w:val="00D4287E"/>
    <w:rsid w:val="00D42BEC"/>
    <w:rsid w:val="00D52BFD"/>
    <w:rsid w:val="00D61CC7"/>
    <w:rsid w:val="00D674B0"/>
    <w:rsid w:val="00D76D0B"/>
    <w:rsid w:val="00D81694"/>
    <w:rsid w:val="00D846C1"/>
    <w:rsid w:val="00D95763"/>
    <w:rsid w:val="00DA0AD1"/>
    <w:rsid w:val="00DA4270"/>
    <w:rsid w:val="00DB6F7F"/>
    <w:rsid w:val="00DD21C2"/>
    <w:rsid w:val="00DD2F57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446E"/>
    <w:rsid w:val="00E75DEF"/>
    <w:rsid w:val="00E8521B"/>
    <w:rsid w:val="00EA2EB4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6371"/>
    <w:rsid w:val="00F1759C"/>
    <w:rsid w:val="00F242EC"/>
    <w:rsid w:val="00F33ACD"/>
    <w:rsid w:val="00F3750C"/>
    <w:rsid w:val="00F410C2"/>
    <w:rsid w:val="00F5397B"/>
    <w:rsid w:val="00F641A1"/>
    <w:rsid w:val="00F64B85"/>
    <w:rsid w:val="00F756A5"/>
    <w:rsid w:val="00F7755C"/>
    <w:rsid w:val="00F80E38"/>
    <w:rsid w:val="00FA0D6B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6D8642B5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328</Words>
  <Characters>1876</Characters>
  <Lines>15</Lines>
  <Paragraphs>4</Paragraphs>
  <TotalTime>18</TotalTime>
  <ScaleCrop>false</ScaleCrop>
  <LinksUpToDate>false</LinksUpToDate>
  <CharactersWithSpaces>2200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2023-12-18T15:23:00Z</dcterms:created>
  <dc:creator>Image</dc:creator>
  <cp:lastModifiedBy>堀  达</cp:lastModifiedBy>
  <cp:lastPrinted>2004-04-23T07:06:00Z</cp:lastPrinted>
  <dcterms:modified xsi:type="dcterms:W3CDTF">2023-12-19T08:49:54Z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75C7AFF1391B4F2B9B1663AA0FF4DAC7_13</vt:lpwstr>
  </property>
</Properties>
</file>