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3928745</wp:posOffset>
            </wp:positionH>
            <wp:positionV relativeFrom="paragraph">
              <wp:posOffset>18415</wp:posOffset>
            </wp:positionV>
            <wp:extent cx="1471295" cy="2209800"/>
            <wp:effectExtent l="0" t="0" r="0" b="0"/>
            <wp:wrapSquare wrapText="bothSides"/>
            <wp:docPr id="1857485224" name="图片 1" descr="Feminist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85224" name="图片 1" descr="Feminist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1295" cy="2209800"/>
                    </a:xfrm>
                    <a:prstGeom prst="rect">
                      <a:avLst/>
                    </a:prstGeom>
                    <a:noFill/>
                    <a:ln>
                      <a:noFill/>
                    </a:ln>
                  </pic:spPr>
                </pic:pic>
              </a:graphicData>
            </a:graphic>
          </wp:anchor>
        </w:drawing>
      </w:r>
      <w:r>
        <w:rPr>
          <w:b/>
          <w:color w:val="000000"/>
          <w:szCs w:val="21"/>
        </w:rPr>
        <w:t>中文书名：《女权主义</w:t>
      </w:r>
      <w:r>
        <w:rPr>
          <w:rFonts w:hint="eastAsia"/>
          <w:b/>
          <w:color w:val="000000"/>
          <w:szCs w:val="21"/>
          <w:lang w:val="en-US" w:eastAsia="zh-CN"/>
        </w:rPr>
        <w:t>热</w:t>
      </w:r>
      <w:r>
        <w:rPr>
          <w:b/>
          <w:color w:val="000000"/>
          <w:szCs w:val="21"/>
        </w:rPr>
        <w:t>：媒体粉丝、数字女权主义和汤博乐》</w:t>
      </w:r>
    </w:p>
    <w:p>
      <w:pPr>
        <w:rPr>
          <w:b/>
          <w:color w:val="000000"/>
          <w:szCs w:val="21"/>
        </w:rPr>
      </w:pPr>
      <w:r>
        <w:rPr>
          <w:b/>
          <w:color w:val="000000"/>
          <w:szCs w:val="21"/>
        </w:rPr>
        <w:t>英文书名：</w:t>
      </w:r>
      <w:bookmarkStart w:id="0" w:name="OLE_LINK1"/>
      <w:r>
        <w:rPr>
          <w:b/>
          <w:color w:val="000000"/>
          <w:szCs w:val="21"/>
        </w:rPr>
        <w:t>FEMINIST FANDOM: Media Fandom, Digital Feminisms, and Tumblr</w:t>
      </w:r>
    </w:p>
    <w:bookmarkEnd w:id="0"/>
    <w:p>
      <w:pPr>
        <w:rPr>
          <w:b/>
          <w:color w:val="000000"/>
          <w:szCs w:val="21"/>
        </w:rPr>
      </w:pPr>
      <w:r>
        <w:rPr>
          <w:b/>
          <w:color w:val="000000"/>
          <w:szCs w:val="21"/>
        </w:rPr>
        <w:t>作    者：Briony Hannell</w:t>
      </w:r>
    </w:p>
    <w:p>
      <w:pPr>
        <w:rPr>
          <w:b/>
          <w:color w:val="000000"/>
          <w:szCs w:val="21"/>
        </w:rPr>
      </w:pPr>
      <w:r>
        <w:rPr>
          <w:b/>
          <w:color w:val="000000"/>
          <w:szCs w:val="21"/>
        </w:rPr>
        <w:t>出 版 社：Bloomsbury</w:t>
      </w:r>
    </w:p>
    <w:p>
      <w:pPr>
        <w:rPr>
          <w:b/>
          <w:color w:val="000000"/>
          <w:szCs w:val="21"/>
        </w:rPr>
      </w:pPr>
      <w:r>
        <w:rPr>
          <w:b/>
          <w:color w:val="000000"/>
          <w:szCs w:val="21"/>
        </w:rPr>
        <w:t>代理公司：ANA/Jessica</w:t>
      </w:r>
    </w:p>
    <w:p>
      <w:pPr>
        <w:rPr>
          <w:b/>
          <w:color w:val="000000"/>
          <w:szCs w:val="21"/>
        </w:rPr>
      </w:pPr>
      <w:r>
        <w:rPr>
          <w:b/>
          <w:color w:val="000000"/>
          <w:szCs w:val="21"/>
        </w:rPr>
        <w:t>页    数：208页</w:t>
      </w:r>
    </w:p>
    <w:p>
      <w:pPr>
        <w:rPr>
          <w:b/>
          <w:color w:val="000000"/>
          <w:szCs w:val="21"/>
        </w:rPr>
      </w:pPr>
      <w:r>
        <w:rPr>
          <w:b/>
          <w:color w:val="000000"/>
          <w:szCs w:val="21"/>
        </w:rPr>
        <w:t>出版时间：2024年2月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型：大众社科</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b/>
          <w:color w:val="000000"/>
          <w:szCs w:val="21"/>
        </w:rPr>
      </w:pPr>
      <w:r>
        <w:rPr>
          <w:b/>
          <w:color w:val="000000"/>
          <w:szCs w:val="21"/>
        </w:rPr>
        <w:t>研究</w:t>
      </w:r>
      <w:r>
        <w:rPr>
          <w:rFonts w:hint="eastAsia"/>
          <w:b/>
          <w:color w:val="000000"/>
          <w:szCs w:val="21"/>
        </w:rPr>
        <w:t>了</w:t>
      </w:r>
      <w:r>
        <w:rPr>
          <w:b/>
          <w:color w:val="000000"/>
          <w:szCs w:val="21"/>
        </w:rPr>
        <w:t>同心主义和女权主义的文化消费、生产和批判模式</w:t>
      </w:r>
      <w:r>
        <w:rPr>
          <w:rFonts w:hint="eastAsia"/>
          <w:b/>
          <w:color w:val="000000"/>
          <w:szCs w:val="21"/>
        </w:rPr>
        <w:t>是</w:t>
      </w:r>
      <w:r>
        <w:rPr>
          <w:b/>
          <w:color w:val="000000"/>
          <w:szCs w:val="21"/>
        </w:rPr>
        <w:t>如何融合</w:t>
      </w:r>
      <w:r>
        <w:rPr>
          <w:rFonts w:hint="eastAsia"/>
          <w:b/>
          <w:color w:val="000000"/>
          <w:szCs w:val="21"/>
        </w:rPr>
        <w:t>的，</w:t>
      </w:r>
      <w:r>
        <w:rPr>
          <w:b/>
          <w:color w:val="000000"/>
          <w:szCs w:val="21"/>
        </w:rPr>
        <w:t>并为年轻人参与女权主义开辟非正式空间。</w:t>
      </w:r>
    </w:p>
    <w:p>
      <w:pPr>
        <w:ind w:firstLine="422" w:firstLineChars="200"/>
        <w:rPr>
          <w:b/>
          <w:color w:val="000000"/>
          <w:szCs w:val="21"/>
        </w:rPr>
      </w:pPr>
    </w:p>
    <w:p>
      <w:pPr>
        <w:ind w:firstLine="420" w:firstLineChars="200"/>
        <w:rPr>
          <w:bCs/>
          <w:color w:val="000000"/>
          <w:szCs w:val="21"/>
        </w:rPr>
      </w:pPr>
      <w:r>
        <w:rPr>
          <w:bCs/>
          <w:color w:val="000000"/>
          <w:szCs w:val="21"/>
        </w:rPr>
        <w:t>汉内尔采用跨学科的理论框架，将媒体与传播、女权主义文化研究、社会学、互联网研究和粉丝研究结合在一起，将媒体粉丝定位在流行女权主义、流行文化和参与式网络数字文化之间多向和共构关系的交叉点。</w:t>
      </w:r>
      <w:r>
        <w:rPr>
          <w:rFonts w:hint="eastAsia"/>
          <w:bCs/>
          <w:color w:val="000000"/>
          <w:szCs w:val="21"/>
        </w:rPr>
        <w:t>《</w:t>
      </w:r>
      <w:r>
        <w:rPr>
          <w:bCs/>
          <w:color w:val="000000"/>
          <w:szCs w:val="21"/>
        </w:rPr>
        <w:t>女权主义</w:t>
      </w:r>
      <w:r>
        <w:rPr>
          <w:rFonts w:hint="eastAsia"/>
          <w:bCs/>
          <w:color w:val="000000"/>
          <w:szCs w:val="21"/>
          <w:lang w:val="en-US" w:eastAsia="zh-CN"/>
        </w:rPr>
        <w:t>热</w:t>
      </w:r>
      <w:r>
        <w:rPr>
          <w:rFonts w:hint="eastAsia"/>
          <w:bCs/>
          <w:color w:val="000000"/>
          <w:szCs w:val="21"/>
        </w:rPr>
        <w:t>》</w:t>
      </w:r>
      <w:r>
        <w:rPr>
          <w:bCs/>
          <w:color w:val="000000"/>
          <w:szCs w:val="21"/>
        </w:rPr>
        <w:t>采用包括参与者观察、调查和访谈在内的分层方法，通过微博和社交网络平台</w:t>
      </w:r>
      <w:r>
        <w:rPr>
          <w:rFonts w:hint="eastAsia"/>
          <w:bCs/>
          <w:color w:val="000000"/>
          <w:szCs w:val="21"/>
        </w:rPr>
        <w:t>汤博乐</w:t>
      </w:r>
      <w:r>
        <w:rPr>
          <w:bCs/>
          <w:color w:val="000000"/>
          <w:szCs w:val="21"/>
        </w:rPr>
        <w:t>上的数字粉丝空间构建了一个多方面的民族志账户，讲述了女权主义身份是如何被建构、生活和感受的。</w:t>
      </w:r>
    </w:p>
    <w:p>
      <w:pPr>
        <w:rPr>
          <w:bCs/>
          <w:color w:val="000000"/>
          <w:szCs w:val="21"/>
        </w:rPr>
      </w:pPr>
    </w:p>
    <w:p>
      <w:pPr>
        <w:ind w:firstLine="420" w:firstLineChars="200"/>
        <w:rPr>
          <w:bCs/>
          <w:color w:val="000000"/>
          <w:szCs w:val="21"/>
        </w:rPr>
      </w:pPr>
      <w:r>
        <w:rPr>
          <w:bCs/>
          <w:color w:val="000000"/>
          <w:szCs w:val="21"/>
        </w:rPr>
        <w:t>它捕捉了年轻人创造性地参与数字女权主义的竞争意义和表现的丰富性</w:t>
      </w:r>
      <w:r>
        <w:rPr>
          <w:rFonts w:hint="eastAsia"/>
          <w:bCs/>
          <w:color w:val="000000"/>
          <w:szCs w:val="21"/>
        </w:rPr>
        <w:t>与</w:t>
      </w:r>
      <w:r>
        <w:rPr>
          <w:bCs/>
          <w:color w:val="000000"/>
          <w:szCs w:val="21"/>
        </w:rPr>
        <w:t>多样性，将</w:t>
      </w:r>
      <w:r>
        <w:rPr>
          <w:rFonts w:hint="eastAsia"/>
          <w:bCs/>
          <w:color w:val="000000"/>
          <w:szCs w:val="21"/>
        </w:rPr>
        <w:t>汤博乐</w:t>
      </w:r>
      <w:r>
        <w:rPr>
          <w:bCs/>
          <w:color w:val="000000"/>
          <w:szCs w:val="21"/>
        </w:rPr>
        <w:t>定位为年轻人参与基于兴趣的女权主义活动、社区建设和知识共享的富有成效的网站。整本书记录了300多位女权主义粉丝的经历，讲述了过去十年女权主义实践、理论和行动主义的广泛转变如何塑造和影响了媒体粉丝的社会和文化实践，同时也使这些实践的乌托邦框架复杂化，揭示了其中起作用的包容和排斥的矛盾</w:t>
      </w:r>
      <w:r>
        <w:rPr>
          <w:rFonts w:hint="eastAsia"/>
          <w:bCs/>
          <w:color w:val="000000"/>
          <w:szCs w:val="21"/>
        </w:rPr>
        <w:t>与</w:t>
      </w:r>
      <w:r>
        <w:rPr>
          <w:bCs/>
          <w:color w:val="000000"/>
          <w:szCs w:val="21"/>
        </w:rPr>
        <w:t>矛盾过程。</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2" w:firstLineChars="200"/>
        <w:rPr>
          <w:bCs/>
        </w:rPr>
      </w:pPr>
      <w:r>
        <w:rPr>
          <w:b/>
        </w:rPr>
        <w:t>布里奥妮·汉内尔</w:t>
      </w:r>
      <w:r>
        <w:rPr>
          <w:rFonts w:hint="eastAsia"/>
          <w:b/>
        </w:rPr>
        <w:t>（</w:t>
      </w:r>
      <w:r>
        <w:rPr>
          <w:b/>
        </w:rPr>
        <w:t>Briony Hannell</w:t>
      </w:r>
      <w:r>
        <w:rPr>
          <w:rFonts w:hint="eastAsia"/>
          <w:b/>
        </w:rPr>
        <w:t>）</w:t>
      </w:r>
      <w:r>
        <w:rPr>
          <w:bCs/>
        </w:rPr>
        <w:t>在英国谢菲尔德大学社会学研究系任教。虽然布里奥妮接受过文化政治和媒体文化社会学的正式培训，但她的跨学科研究涵盖女权主义社会学、女权主义文化研究、媒体和传播、互联网研究、女孩研究和粉丝研究。布里奥妮是一位定性女权主义研究人员，她使用民族志方法（在线和离线），包括参与者观察、焦点小组、访谈、调查、</w:t>
      </w:r>
      <w:r>
        <w:drawing>
          <wp:anchor distT="0" distB="0" distL="114300" distR="114300" simplePos="0" relativeHeight="251661312" behindDoc="1" locked="0" layoutInCell="1" allowOverlap="1">
            <wp:simplePos x="0" y="0"/>
            <wp:positionH relativeFrom="margin">
              <wp:posOffset>158750</wp:posOffset>
            </wp:positionH>
            <wp:positionV relativeFrom="paragraph">
              <wp:posOffset>76200</wp:posOffset>
            </wp:positionV>
            <wp:extent cx="1130300" cy="1130300"/>
            <wp:effectExtent l="0" t="0" r="0" b="0"/>
            <wp:wrapTight wrapText="bothSides">
              <wp:wrapPolygon>
                <wp:start x="0" y="0"/>
                <wp:lineTo x="0" y="21115"/>
                <wp:lineTo x="21115" y="21115"/>
                <wp:lineTo x="21115" y="0"/>
                <wp:lineTo x="0" y="0"/>
              </wp:wrapPolygon>
            </wp:wrapTight>
            <wp:docPr id="19380252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25258"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30300" cy="1130300"/>
                    </a:xfrm>
                    <a:prstGeom prst="rect">
                      <a:avLst/>
                    </a:prstGeom>
                    <a:noFill/>
                    <a:ln>
                      <a:noFill/>
                    </a:ln>
                  </pic:spPr>
                </pic:pic>
              </a:graphicData>
            </a:graphic>
          </wp:anchor>
        </w:drawing>
      </w:r>
      <w:r>
        <w:rPr>
          <w:bCs/>
        </w:rPr>
        <w:t>话语分析和文本分析。她的民族志研究将数字媒体粉丝社区定位为年轻人在非正式和日常背景下制作、谈判和争论女权主义意义的重要空间。在此过程中，她的</w:t>
      </w:r>
      <w:r>
        <w:rPr>
          <w:rFonts w:hint="eastAsia"/>
          <w:bCs/>
        </w:rPr>
        <w:t>作品</w:t>
      </w:r>
      <w:r>
        <w:rPr>
          <w:bCs/>
        </w:rPr>
        <w:t>将</w:t>
      </w:r>
      <w:r>
        <w:rPr>
          <w:rFonts w:hint="eastAsia"/>
          <w:bCs/>
        </w:rPr>
        <w:t>汤博乐</w:t>
      </w:r>
      <w:r>
        <w:rPr>
          <w:bCs/>
        </w:rPr>
        <w:t>上的数字青年文化定位为年轻人参与女权主义活动、社区建设和知识共享的富有成效的网站，同时也使这些数字空间的乌托邦框架复杂化，以揭示其中的包容和排斥的矛盾</w:t>
      </w:r>
      <w:r>
        <w:rPr>
          <w:rFonts w:hint="eastAsia"/>
          <w:bCs/>
        </w:rPr>
        <w:t>与</w:t>
      </w:r>
      <w:r>
        <w:rPr>
          <w:bCs/>
        </w:rPr>
        <w:t xml:space="preserve">矛盾过程。 </w:t>
      </w:r>
    </w:p>
    <w:p/>
    <w:p/>
    <w:p>
      <w:pPr>
        <w:rPr>
          <w:b/>
          <w:bCs/>
          <w:color w:val="000000"/>
          <w:szCs w:val="21"/>
        </w:rPr>
      </w:pPr>
      <w:r>
        <w:rPr>
          <w:b/>
          <w:bCs/>
          <w:color w:val="000000"/>
          <w:szCs w:val="21"/>
        </w:rPr>
        <w:t>媒体评价：</w:t>
      </w:r>
    </w:p>
    <w:p/>
    <w:p>
      <w:pPr>
        <w:ind w:firstLine="420" w:firstLineChars="200"/>
      </w:pPr>
      <w:r>
        <w:rPr>
          <w:rFonts w:hint="eastAsia"/>
        </w:rPr>
        <w:t>“</w:t>
      </w:r>
      <w:r>
        <w:t>虽然数字媒介的粉丝</w:t>
      </w:r>
      <w:r>
        <w:rPr>
          <w:rFonts w:hint="eastAsia"/>
        </w:rPr>
        <w:t>空间</w:t>
      </w:r>
      <w:r>
        <w:t>的教学价值经常被</w:t>
      </w:r>
      <w:r>
        <w:rPr>
          <w:rFonts w:hint="eastAsia"/>
        </w:rPr>
        <w:t>肯定</w:t>
      </w:r>
      <w:r>
        <w:t>，但在这里，布里奥妮·汉内尔批判性地探讨了女权主义教学法如何在在线粉丝空间中发挥作用的复杂性和矛盾性。通过对这些社区的一系列实践和辩论的探索，从反思性学习到</w:t>
      </w:r>
      <w:r>
        <w:rPr>
          <w:rFonts w:hint="eastAsia"/>
        </w:rPr>
        <w:t>“社会正义战士</w:t>
      </w:r>
      <w:r>
        <w:t>疲劳</w:t>
      </w:r>
      <w:r>
        <w:rPr>
          <w:rFonts w:hint="eastAsia"/>
        </w:rPr>
        <w:t>”</w:t>
      </w:r>
      <w:r>
        <w:t>，这本书使关于粉丝与女权主义</w:t>
      </w:r>
      <w:r>
        <w:rPr>
          <w:rFonts w:hint="eastAsia"/>
        </w:rPr>
        <w:t>意识上升的联系复杂化了</w:t>
      </w:r>
      <w:r>
        <w:t>。虽然汉内尔的论点与</w:t>
      </w:r>
      <w:r>
        <w:rPr>
          <w:rFonts w:hint="eastAsia"/>
        </w:rPr>
        <w:t>汤博乐</w:t>
      </w:r>
      <w:r>
        <w:t>的社会技术特征密切相关，但她复杂的理论、方法和分析方法是批判性和细致入微的数字女权主义媒体分析的典范，使这本书成为该领域的必读之作。</w:t>
      </w:r>
      <w:r>
        <w:rPr>
          <w:rFonts w:hint="eastAsia"/>
        </w:rPr>
        <w:t>”</w:t>
      </w:r>
    </w:p>
    <w:p>
      <w:pPr>
        <w:jc w:val="right"/>
      </w:pPr>
      <w:r>
        <w:rPr>
          <w:rFonts w:hint="eastAsia"/>
        </w:rPr>
        <w:t>——</w:t>
      </w:r>
      <w:r>
        <w:t>艾莉森·哈维（Alison Harvey），加拿大约克大学传播学副教授，《女权主义媒体研究》</w:t>
      </w:r>
      <w:r>
        <w:rPr>
          <w:rFonts w:hint="eastAsia"/>
        </w:rPr>
        <w:t>（</w:t>
      </w:r>
      <w:r>
        <w:rPr>
          <w:i/>
          <w:iCs/>
        </w:rPr>
        <w:t>Feminist Media Studies</w:t>
      </w:r>
      <w:r>
        <w:rPr>
          <w:rFonts w:hint="eastAsia"/>
        </w:rPr>
        <w:t>）</w:t>
      </w:r>
      <w:r>
        <w:t>（2019）的作者</w:t>
      </w:r>
    </w:p>
    <w:p>
      <w:pPr>
        <w:ind w:firstLine="420" w:firstLineChars="200"/>
      </w:pPr>
    </w:p>
    <w:p>
      <w:pPr>
        <w:ind w:firstLine="420" w:firstLineChars="200"/>
      </w:pPr>
      <w:r>
        <w:rPr>
          <w:rFonts w:hint="eastAsia"/>
        </w:rPr>
        <w:t>“粉丝圈</w:t>
      </w:r>
      <w:r>
        <w:t>作为通往女权主义的途径被研究不足，但在阅读</w:t>
      </w:r>
      <w:r>
        <w:rPr>
          <w:rFonts w:hint="eastAsia"/>
        </w:rPr>
        <w:t>了《女权主义</w:t>
      </w:r>
      <w:r>
        <w:rPr>
          <w:rFonts w:hint="eastAsia"/>
          <w:lang w:val="en-US" w:eastAsia="zh-CN"/>
        </w:rPr>
        <w:t>热</w:t>
      </w:r>
      <w:r>
        <w:rPr>
          <w:rFonts w:hint="eastAsia"/>
        </w:rPr>
        <w:t>》</w:t>
      </w:r>
      <w:r>
        <w:t>之后，两者似乎密不可分。这本书对数字文化、女权主义和流行文化的交集进行了令人信服的描述。因此，它是参与式文化、受众研究、性别研究、女权主义研究和粉丝研究学者的推荐读物。这是一本关于故事的力量的书，</w:t>
      </w:r>
      <w:r>
        <w:rPr>
          <w:rFonts w:hint="eastAsia"/>
        </w:rPr>
        <w:t>汤博乐</w:t>
      </w:r>
      <w:r>
        <w:t>作为第一人称叙述平台</w:t>
      </w:r>
      <w:bookmarkStart w:id="3" w:name="_GoBack"/>
      <w:bookmarkEnd w:id="3"/>
      <w:r>
        <w:t>的重要性，以及讲故事对社会运动及其重塑的核心地位。</w:t>
      </w:r>
      <w:r>
        <w:rPr>
          <w:rFonts w:hint="eastAsia"/>
        </w:rPr>
        <w:t>”</w:t>
      </w:r>
      <w:r>
        <w:t xml:space="preserve"> </w:t>
      </w:r>
    </w:p>
    <w:p>
      <w:pPr>
        <w:jc w:val="right"/>
      </w:pPr>
      <w:r>
        <w:rPr>
          <w:rFonts w:hint="eastAsia"/>
        </w:rPr>
        <w:t>——</w:t>
      </w:r>
      <w:r>
        <w:t>卡特琳·蒂登伯格</w:t>
      </w:r>
      <w:r>
        <w:rPr>
          <w:rFonts w:hint="eastAsia"/>
        </w:rPr>
        <w:t>（</w:t>
      </w:r>
      <w:r>
        <w:t>Katrin Tiidenberg</w:t>
      </w:r>
      <w:r>
        <w:rPr>
          <w:rFonts w:hint="eastAsia"/>
        </w:rPr>
        <w:t>）</w:t>
      </w:r>
      <w:r>
        <w:t>，爱沙尼亚塔林大学参与式文化教授</w:t>
      </w:r>
    </w:p>
    <w:p>
      <w:pPr>
        <w:rPr>
          <w:color w:val="000000"/>
          <w:szCs w:val="21"/>
        </w:rPr>
      </w:pPr>
    </w:p>
    <w:p>
      <w:pPr>
        <w:rPr>
          <w:color w:val="000000"/>
          <w:szCs w:val="21"/>
        </w:rPr>
      </w:pPr>
    </w:p>
    <w:p>
      <w:pPr>
        <w:shd w:val="clear" w:color="auto" w:fill="FFFFFF"/>
        <w:rPr>
          <w:color w:val="000000"/>
          <w:szCs w:val="21"/>
        </w:rPr>
      </w:pPr>
      <w:bookmarkStart w:id="1" w:name="OLE_LINK43"/>
      <w:bookmarkStart w:id="2"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61C2C"/>
    <w:rsid w:val="00064060"/>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93733"/>
    <w:rsid w:val="00195D6F"/>
    <w:rsid w:val="001B2196"/>
    <w:rsid w:val="001B679D"/>
    <w:rsid w:val="001C1CE4"/>
    <w:rsid w:val="001C6D65"/>
    <w:rsid w:val="001C74C6"/>
    <w:rsid w:val="001D0115"/>
    <w:rsid w:val="001D0FAF"/>
    <w:rsid w:val="001D4E4F"/>
    <w:rsid w:val="001F0F15"/>
    <w:rsid w:val="002068EA"/>
    <w:rsid w:val="00215BF8"/>
    <w:rsid w:val="002243E8"/>
    <w:rsid w:val="00236060"/>
    <w:rsid w:val="00244604"/>
    <w:rsid w:val="00244F8F"/>
    <w:rsid w:val="00250063"/>
    <w:rsid w:val="002516C3"/>
    <w:rsid w:val="002523C1"/>
    <w:rsid w:val="00265795"/>
    <w:rsid w:val="002727E9"/>
    <w:rsid w:val="002761DB"/>
    <w:rsid w:val="0027765C"/>
    <w:rsid w:val="00295289"/>
    <w:rsid w:val="00295FD8"/>
    <w:rsid w:val="0029676A"/>
    <w:rsid w:val="002B5ADD"/>
    <w:rsid w:val="002C0257"/>
    <w:rsid w:val="002D009B"/>
    <w:rsid w:val="002E13E2"/>
    <w:rsid w:val="002E21FA"/>
    <w:rsid w:val="002E25C3"/>
    <w:rsid w:val="002E4527"/>
    <w:rsid w:val="002F4176"/>
    <w:rsid w:val="00304C83"/>
    <w:rsid w:val="00310AD2"/>
    <w:rsid w:val="00312D3B"/>
    <w:rsid w:val="00314D8C"/>
    <w:rsid w:val="003169AA"/>
    <w:rsid w:val="003212C8"/>
    <w:rsid w:val="0032320B"/>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38A3"/>
    <w:rsid w:val="003D49B4"/>
    <w:rsid w:val="003F4DC2"/>
    <w:rsid w:val="003F6B21"/>
    <w:rsid w:val="003F745B"/>
    <w:rsid w:val="00401915"/>
    <w:rsid w:val="004039C9"/>
    <w:rsid w:val="00422383"/>
    <w:rsid w:val="00426CAF"/>
    <w:rsid w:val="00427236"/>
    <w:rsid w:val="00435906"/>
    <w:rsid w:val="004655CB"/>
    <w:rsid w:val="00485E2E"/>
    <w:rsid w:val="00485ECA"/>
    <w:rsid w:val="00486E31"/>
    <w:rsid w:val="004C4664"/>
    <w:rsid w:val="004D5ADA"/>
    <w:rsid w:val="004F6FDA"/>
    <w:rsid w:val="0050133A"/>
    <w:rsid w:val="00505E3E"/>
    <w:rsid w:val="00507886"/>
    <w:rsid w:val="00512B81"/>
    <w:rsid w:val="00516879"/>
    <w:rsid w:val="00527595"/>
    <w:rsid w:val="00531E34"/>
    <w:rsid w:val="00540487"/>
    <w:rsid w:val="00542854"/>
    <w:rsid w:val="0054434C"/>
    <w:rsid w:val="005508BD"/>
    <w:rsid w:val="00553CE6"/>
    <w:rsid w:val="00554EB4"/>
    <w:rsid w:val="00564FD9"/>
    <w:rsid w:val="0059271E"/>
    <w:rsid w:val="005B2CF5"/>
    <w:rsid w:val="005B444D"/>
    <w:rsid w:val="005B5B9E"/>
    <w:rsid w:val="005C244E"/>
    <w:rsid w:val="005C27DC"/>
    <w:rsid w:val="005C67FF"/>
    <w:rsid w:val="005D167F"/>
    <w:rsid w:val="005D3FD9"/>
    <w:rsid w:val="005D743E"/>
    <w:rsid w:val="005E31E5"/>
    <w:rsid w:val="005F2EC6"/>
    <w:rsid w:val="005F4D4D"/>
    <w:rsid w:val="005F5420"/>
    <w:rsid w:val="00616A0F"/>
    <w:rsid w:val="006176AA"/>
    <w:rsid w:val="006369C9"/>
    <w:rsid w:val="00655FA9"/>
    <w:rsid w:val="006656BA"/>
    <w:rsid w:val="00667C85"/>
    <w:rsid w:val="00680EFB"/>
    <w:rsid w:val="006B6CAB"/>
    <w:rsid w:val="006D37ED"/>
    <w:rsid w:val="006E2E2E"/>
    <w:rsid w:val="007078E0"/>
    <w:rsid w:val="00715F9D"/>
    <w:rsid w:val="00733194"/>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4F72"/>
    <w:rsid w:val="00937973"/>
    <w:rsid w:val="00953C63"/>
    <w:rsid w:val="0095747D"/>
    <w:rsid w:val="00973993"/>
    <w:rsid w:val="00973E1A"/>
    <w:rsid w:val="009836C5"/>
    <w:rsid w:val="00995581"/>
    <w:rsid w:val="00996023"/>
    <w:rsid w:val="009A0088"/>
    <w:rsid w:val="009A1093"/>
    <w:rsid w:val="009B01A7"/>
    <w:rsid w:val="009B3943"/>
    <w:rsid w:val="009C66BB"/>
    <w:rsid w:val="009D09AC"/>
    <w:rsid w:val="009D7EA7"/>
    <w:rsid w:val="009E5739"/>
    <w:rsid w:val="00A10F0C"/>
    <w:rsid w:val="00A1225E"/>
    <w:rsid w:val="00A241E9"/>
    <w:rsid w:val="00A45A3D"/>
    <w:rsid w:val="00A54A8E"/>
    <w:rsid w:val="00A71EAE"/>
    <w:rsid w:val="00A77982"/>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57A4"/>
    <w:rsid w:val="00BE5A1C"/>
    <w:rsid w:val="00BE6763"/>
    <w:rsid w:val="00BF20A3"/>
    <w:rsid w:val="00BF237B"/>
    <w:rsid w:val="00BF39E0"/>
    <w:rsid w:val="00BF523C"/>
    <w:rsid w:val="00C01700"/>
    <w:rsid w:val="00C061D1"/>
    <w:rsid w:val="00C07E30"/>
    <w:rsid w:val="00C117A9"/>
    <w:rsid w:val="00C1399B"/>
    <w:rsid w:val="00C16D2E"/>
    <w:rsid w:val="00C308BC"/>
    <w:rsid w:val="00C40DC8"/>
    <w:rsid w:val="00C60B95"/>
    <w:rsid w:val="00C71DBF"/>
    <w:rsid w:val="00C741C0"/>
    <w:rsid w:val="00C835AD"/>
    <w:rsid w:val="00C9021F"/>
    <w:rsid w:val="00CA1DDF"/>
    <w:rsid w:val="00CB6027"/>
    <w:rsid w:val="00CC69DA"/>
    <w:rsid w:val="00CD3036"/>
    <w:rsid w:val="00CD409A"/>
    <w:rsid w:val="00D068E5"/>
    <w:rsid w:val="00D17732"/>
    <w:rsid w:val="00D24A70"/>
    <w:rsid w:val="00D24E00"/>
    <w:rsid w:val="00D341FB"/>
    <w:rsid w:val="00D34E95"/>
    <w:rsid w:val="00D500BB"/>
    <w:rsid w:val="00D5176B"/>
    <w:rsid w:val="00D55CF3"/>
    <w:rsid w:val="00D56A6F"/>
    <w:rsid w:val="00D56DBD"/>
    <w:rsid w:val="00D63010"/>
    <w:rsid w:val="00D64EE2"/>
    <w:rsid w:val="00D67D8D"/>
    <w:rsid w:val="00D738A1"/>
    <w:rsid w:val="00D762D4"/>
    <w:rsid w:val="00D76715"/>
    <w:rsid w:val="00DB3297"/>
    <w:rsid w:val="00DB7D8F"/>
    <w:rsid w:val="00DF0BB7"/>
    <w:rsid w:val="00E00CC0"/>
    <w:rsid w:val="00E132E9"/>
    <w:rsid w:val="00E15659"/>
    <w:rsid w:val="00E40D0D"/>
    <w:rsid w:val="00E43598"/>
    <w:rsid w:val="00E509A5"/>
    <w:rsid w:val="00E54E5E"/>
    <w:rsid w:val="00E557C1"/>
    <w:rsid w:val="00E65115"/>
    <w:rsid w:val="00E725A1"/>
    <w:rsid w:val="00E76F8E"/>
    <w:rsid w:val="00EA6987"/>
    <w:rsid w:val="00EA74CC"/>
    <w:rsid w:val="00EB27B1"/>
    <w:rsid w:val="00EC129D"/>
    <w:rsid w:val="00ED1D72"/>
    <w:rsid w:val="00ED30C7"/>
    <w:rsid w:val="00EE21C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382F"/>
    <w:rsid w:val="00F668A4"/>
    <w:rsid w:val="00F75A83"/>
    <w:rsid w:val="00F80E8A"/>
    <w:rsid w:val="00F9132F"/>
    <w:rsid w:val="00FA2346"/>
    <w:rsid w:val="00FB277E"/>
    <w:rsid w:val="00FB5963"/>
    <w:rsid w:val="00FC3699"/>
    <w:rsid w:val="00FC6961"/>
    <w:rsid w:val="00FD049B"/>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D81511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347</Words>
  <Characters>1980</Characters>
  <Lines>16</Lines>
  <Paragraphs>4</Paragraphs>
  <TotalTime>1053</TotalTime>
  <ScaleCrop>false</ScaleCrop>
  <LinksUpToDate>false</LinksUpToDate>
  <CharactersWithSpaces>2323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2023-11-12T06:02:00Z</dcterms:created>
  <dc:creator>Image</dc:creator>
  <cp:lastModifiedBy>Jessica_Wu</cp:lastModifiedBy>
  <cp:lastPrinted>2005-06-10T06:33:00Z</cp:lastPrinted>
  <dcterms:modified xsi:type="dcterms:W3CDTF">2024-02-01T07:17:42Z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