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13 155518.png屏幕截图 2024-05-13 15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13 155518.png屏幕截图 2024-05-13 155518"/>
                    <pic:cNvPicPr>
                      <a:picLocks noChangeAspect="1"/>
                    </pic:cNvPicPr>
                  </pic:nvPicPr>
                  <pic:blipFill>
                    <a:blip r:embed="rId6"/>
                    <a:srcRect t="950" b="950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无人入眠：7个经过证实的睡眠策略提升健康和幸福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Nobody’s Sleeping: 7 Proven Sleep Strategies for Better Health and Happiness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Bijoy E. John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230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保健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#57 in Sleep Disorders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#142 in Longevity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#286 in Healing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我们生命中的三分之一时间都在床上度过。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保证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尽可能深度且充足的睡眠</w:t>
      </w:r>
      <w:r>
        <w:rPr>
          <w:rFonts w:hint="eastAsia"/>
          <w:b w:val="0"/>
          <w:bCs w:val="0"/>
          <w:color w:val="000000"/>
          <w:sz w:val="21"/>
          <w:szCs w:val="21"/>
        </w:rPr>
        <w:t>，不是很有道理吗？在《无人入眠》中，约翰博士阐明了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睡觉这一休息方式的复杂性，这一关键常常被人忽视</w:t>
      </w:r>
      <w:r>
        <w:rPr>
          <w:rFonts w:hint="eastAsia"/>
          <w:b w:val="0"/>
          <w:bCs w:val="0"/>
          <w:color w:val="000000"/>
          <w:sz w:val="21"/>
          <w:szCs w:val="21"/>
        </w:rPr>
        <w:t>。无论是需要对睡眠习惯进行微调还是彻底改变，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本书</w:t>
      </w:r>
      <w:r>
        <w:rPr>
          <w:rFonts w:hint="eastAsia"/>
          <w:b w:val="0"/>
          <w:bCs w:val="0"/>
          <w:color w:val="000000"/>
          <w:sz w:val="21"/>
          <w:szCs w:val="21"/>
        </w:rPr>
        <w:t>都提供了全面的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手把手</w:t>
      </w:r>
      <w:r>
        <w:rPr>
          <w:rFonts w:hint="eastAsia"/>
          <w:b w:val="0"/>
          <w:bCs w:val="0"/>
          <w:color w:val="000000"/>
          <w:sz w:val="21"/>
          <w:szCs w:val="21"/>
        </w:rPr>
        <w:t>指南。</w:t>
      </w:r>
    </w:p>
    <w:p>
      <w:pPr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一夜饱眠可以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提高</w:t>
      </w:r>
      <w:r>
        <w:rPr>
          <w:rFonts w:hint="eastAsia"/>
          <w:b w:val="0"/>
          <w:bCs w:val="0"/>
          <w:color w:val="000000"/>
          <w:sz w:val="21"/>
          <w:szCs w:val="21"/>
        </w:rPr>
        <w:t>生产力、能量和幸福感。良好的睡眠，就像健康的生活方式一样，应该成为家庭中的共同目标。一个人睡眠不好时，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其</w:t>
      </w:r>
      <w:r>
        <w:rPr>
          <w:rFonts w:hint="eastAsia"/>
          <w:b w:val="0"/>
          <w:bCs w:val="0"/>
          <w:color w:val="000000"/>
          <w:sz w:val="21"/>
          <w:szCs w:val="21"/>
        </w:rPr>
        <w:t>父母也会受到影响。约翰博士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为全家普遍以及不同年龄阶段不同的睡眠问题都提供了解决方案</w:t>
      </w:r>
      <w:r>
        <w:rPr>
          <w:rFonts w:hint="eastAsia"/>
          <w:b w:val="0"/>
          <w:bCs w:val="0"/>
          <w:color w:val="000000"/>
          <w:sz w:val="21"/>
          <w:szCs w:val="21"/>
        </w:rPr>
        <w:t>战，以改善整个家庭的睡眠。</w:t>
      </w:r>
    </w:p>
    <w:p>
      <w:pPr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约翰博士从</w:t>
      </w:r>
      <w:r>
        <w:rPr>
          <w:rFonts w:hint="eastAsia"/>
          <w:b w:val="0"/>
          <w:bCs w:val="0"/>
          <w:color w:val="000000"/>
          <w:sz w:val="21"/>
          <w:szCs w:val="21"/>
        </w:rPr>
        <w:t>睡眠药物所提供的临时解决方案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入手</w:t>
      </w:r>
      <w:r>
        <w:rPr>
          <w:rFonts w:hint="eastAsia"/>
          <w:b w:val="0"/>
          <w:bCs w:val="0"/>
          <w:color w:val="000000"/>
          <w:sz w:val="21"/>
          <w:szCs w:val="21"/>
        </w:rPr>
        <w:t>，倡导一种持久的、整体的方法来克服睡眠障碍。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书中</w:t>
      </w:r>
      <w:r>
        <w:rPr>
          <w:rFonts w:hint="eastAsia"/>
          <w:b w:val="0"/>
          <w:bCs w:val="0"/>
          <w:color w:val="000000"/>
          <w:sz w:val="21"/>
          <w:szCs w:val="21"/>
        </w:rPr>
        <w:t>，他赋予个人采取行动的力量，采用已被证实的策略来迅速入睡，保持深度睡眠，并在醒来时感到完全焕发精神。</w:t>
      </w:r>
    </w:p>
    <w:p>
      <w:pPr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改变你的睡眠模式，从而改变你的生活。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bookmarkStart w:id="1" w:name="_GoBack"/>
      <w:bookmarkEnd w:id="1"/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比乔伊·E·约翰（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Bijoy E. John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有资质的医生，目前在私人诊所从事睡眠专家工作，拥有超过25年的肺部/危重症护理和睡眠医学经验。其诊所位于田纳西州的布伦特伍德，该诊所提供面对面和在线咨询、教育、现代诊断模式、家庭测试和全面治疗各种睡眠障碍。他是美国医师协会、美国医学协会和美国睡眠医学会的成员。约翰博士被《我的纳什维尔》杂志评为2022年纳什维尔市前100名医生之一。此外，他从2015年到2020年连续被《纳什维尔生活方式》杂志评为最佳睡眠专家。他还被列入马基斯《名人录》中，被评为2023-24年度顶尖睡眠医生之一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作者的话：为什么我在意睡眠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睡眠问题信号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极度渴望睡眠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睡眠问题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睡眠与身体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睡眠与心理健康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睡眠与体重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睡眠与性健康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睡眠与小孩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睡眠与青少年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睡眠与女性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睡眠与中老年人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睡眠、表现与成功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睡眠诊断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美国睡眠健康诊所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其他资源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推荐阅读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术语表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尾言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因此，现在要怎么做？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8C6FE"/>
    <w:multiLevelType w:val="singleLevel"/>
    <w:tmpl w:val="AFC8C6FE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5E0485B"/>
    <w:rsid w:val="160F623F"/>
    <w:rsid w:val="18163075"/>
    <w:rsid w:val="1C5E2071"/>
    <w:rsid w:val="1F630304"/>
    <w:rsid w:val="2149188A"/>
    <w:rsid w:val="22AB596C"/>
    <w:rsid w:val="27D50298"/>
    <w:rsid w:val="2E6B7CCE"/>
    <w:rsid w:val="2EBD695D"/>
    <w:rsid w:val="36E47851"/>
    <w:rsid w:val="390D5674"/>
    <w:rsid w:val="401410AB"/>
    <w:rsid w:val="411450F1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DB6603E"/>
    <w:rsid w:val="5FDA4C96"/>
    <w:rsid w:val="600277DE"/>
    <w:rsid w:val="62FE436B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  <w:rsid w:val="7FA350D6"/>
    <w:rsid w:val="7FEB7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991</Words>
  <Characters>1417</Characters>
  <Lines>25</Lines>
  <Paragraphs>7</Paragraphs>
  <TotalTime>44</TotalTime>
  <ScaleCrop>false</ScaleCrop>
  <LinksUpToDate>false</LinksUpToDate>
  <CharactersWithSpaces>1464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Funny</cp:lastModifiedBy>
  <cp:lastPrinted>2004-04-23T07:06:00Z</cp:lastPrinted>
  <dcterms:modified xsi:type="dcterms:W3CDTF">2024-05-13T10:01:39Z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ED8FD48745E14847A6A8AE582F3E388F_13</vt:lpwstr>
  </property>
</Properties>
</file>