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137160</wp:posOffset>
            </wp:positionV>
            <wp:extent cx="1200150" cy="1821815"/>
            <wp:effectExtent l="0" t="0" r="0" b="6985"/>
            <wp:wrapSquare wrapText="bothSides"/>
            <wp:docPr id="5" name="图片 5" descr="71YoX6RobGL._SY4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YoX6RobGL._SY425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《致命遗传:</w:t>
      </w:r>
      <w:r>
        <w:rPr>
          <w:rFonts w:hint="eastAsia"/>
          <w:b/>
          <w:color w:val="000000"/>
          <w:szCs w:val="21"/>
          <w:lang w:val="en-US" w:eastAsia="zh-CN"/>
        </w:rPr>
        <w:t>从</w:t>
      </w:r>
      <w:r>
        <w:rPr>
          <w:rFonts w:hint="eastAsia"/>
          <w:b/>
          <w:color w:val="000000"/>
          <w:szCs w:val="21"/>
        </w:rPr>
        <w:t>一个家庭的不幸</w:t>
      </w:r>
      <w:r>
        <w:rPr>
          <w:rFonts w:hint="eastAsia"/>
          <w:b/>
          <w:color w:val="000000"/>
          <w:szCs w:val="21"/>
          <w:lang w:val="en-US" w:eastAsia="zh-CN"/>
        </w:rPr>
        <w:t>看癌症</w:t>
      </w:r>
      <w:r>
        <w:rPr>
          <w:rFonts w:hint="eastAsia"/>
          <w:b/>
          <w:color w:val="000000"/>
          <w:szCs w:val="21"/>
        </w:rPr>
        <w:t>医学之谜》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rFonts w:hint="default"/>
          <w:b/>
          <w:i/>
          <w:iCs/>
          <w:color w:val="000000"/>
          <w:szCs w:val="21"/>
        </w:rPr>
        <w:t>A Fatal Inheritance</w:t>
      </w:r>
      <w:bookmarkEnd w:id="0"/>
      <w:r>
        <w:rPr>
          <w:rFonts w:hint="default"/>
          <w:b/>
          <w:i/>
          <w:iCs/>
          <w:color w:val="000000"/>
          <w:szCs w:val="21"/>
        </w:rPr>
        <w:t>: How a Family Misfortune Revealed a Deadly Medical Mystery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Lawrence Ingrassia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Henry Holt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UTA/</w:t>
      </w:r>
      <w:r>
        <w:rPr>
          <w:b/>
          <w:color w:val="000000"/>
          <w:szCs w:val="21"/>
        </w:rPr>
        <w:t>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320</w:t>
      </w:r>
      <w:r>
        <w:rPr>
          <w:rFonts w:hint="eastAsia"/>
          <w:b/>
          <w:color w:val="000000"/>
          <w:szCs w:val="21"/>
        </w:rPr>
        <w:t>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传记回忆录/非小说</w:t>
      </w:r>
    </w:p>
    <w:p>
      <w:pPr>
        <w:rPr>
          <w:b/>
          <w:bCs/>
          <w:color w:val="FF0000"/>
          <w:szCs w:val="21"/>
        </w:rPr>
      </w:pPr>
      <w:r>
        <w:drawing>
          <wp:inline distT="0" distB="0" distL="114300" distR="114300">
            <wp:extent cx="2790825" cy="723900"/>
            <wp:effectExtent l="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28975" cy="314325"/>
            <wp:effectExtent l="0" t="0" r="9525" b="952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eastAsia="宋体"/>
          <w:b/>
          <w:bCs/>
          <w:color w:val="000000"/>
          <w:sz w:val="21"/>
          <w:szCs w:val="21"/>
          <w:lang w:val="en-US" w:eastAsia="zh-CN"/>
        </w:rPr>
        <w:t>家庭回忆录X医学惊悚片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为何有的家庭中多名成员会罹患癌症？为何有些孩子从很小的时候就得忍受癌症之痛？癌症在家族中遗传是因为基因吗？李法美尼症候群 (LFS)又是什么？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作者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劳伦斯·英格拉西亚的母亲、两个姐妹、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一个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兄弟和侄子都死于癌症，</w:t>
      </w: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但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种类和患病时间都不一样。这很不寻常，他的家人想知道这究竟是由于难以置信的厄运，还是可能有其他解释。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20世纪60年代，弗雷德里克·裴·李博士（Dr. Frederick Pei Li）和小约瑟夫·弗劳梅尼博士（Dr. Joseph Fraumeni Jr.）第一次见面时，还不知道二人会有一个开创性的发现，将影响癌症患者几十年。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他们最初</w:t>
      </w:r>
      <w:r>
        <w:rPr>
          <w:rStyle w:val="13"/>
          <w:rFonts w:hint="eastAsia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的发现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被许多专家驳回</w:t>
      </w:r>
      <w:r>
        <w:rPr>
          <w:rStyle w:val="13"/>
          <w:rFonts w:hint="eastAsia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，但之后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多年，在其他先驱科学家和分子生物学技术进步的帮助下，他们在一个至关重要的癌症基因中发现了一个非常罕见的突变，这是导致癌症的原因。在这个过程中，医生们帮助极大地扩大了对癌症遗传原因的了解。(现在所谓的Li-Fraumeni综合征就是以他们名字命名的)</w:t>
      </w:r>
      <w:r>
        <w:rPr>
          <w:rStyle w:val="13"/>
          <w:rFonts w:hint="eastAsia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直到今天，英格拉西亚和无数其他人继续解开和拓展李和弗劳梅尼最初的发现，并了解这对他们的家人意味着什么。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面对看似无法承受的损失，英格拉西仍抱着希望。他敦促我们“像</w:t>
      </w:r>
      <w:bookmarkStart w:id="1" w:name="OLE_LINK5"/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查理</w:t>
      </w:r>
      <w:bookmarkEnd w:id="1"/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一样战斗”，他的侄子查理在两岁时就发现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脸颊上长了罕见肿瘤，</w:t>
      </w:r>
      <w:r>
        <w:rPr>
          <w:rFonts w:hint="eastAsia" w:eastAsia="宋体"/>
          <w:b w:val="0"/>
          <w:bCs w:val="0"/>
          <w:color w:val="000000"/>
          <w:sz w:val="21"/>
          <w:szCs w:val="21"/>
          <w:lang w:val="en-US" w:eastAsia="zh-CN"/>
        </w:rPr>
        <w:t>开始与癌症作斗争。他还敦促我们展望未来，因为基因测序、筛查方案、CRISPR基因编辑和其他发展中的技术可能会继续延长寿命，也许有一天，甚至能治愈癌症。</w:t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  <w:r>
        <w:rPr>
          <w:rStyle w:val="13"/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295275</wp:posOffset>
            </wp:positionV>
            <wp:extent cx="789305" cy="1184275"/>
            <wp:effectExtent l="0" t="0" r="10795" b="15875"/>
            <wp:wrapSquare wrapText="bothSides"/>
            <wp:docPr id="8" name="图片 8" descr="200069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00693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3"/>
          <w:rFonts w:hint="default" w:ascii="Times New Roman" w:hAnsi="Times New Roman" w:eastAsia="PT Sans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bookmarkStart w:id="2" w:name="OLE_LINK2"/>
      <w:r>
        <w:rPr>
          <w:rStyle w:val="13"/>
          <w:rFonts w:hint="eastAsia" w:eastAsia="PT Sans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</w:t>
      </w:r>
      <w:bookmarkStart w:id="3" w:name="OLE_LINK3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劳伦斯</w:t>
      </w:r>
      <w:bookmarkEnd w:id="2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·英格拉西亚</w:t>
      </w:r>
      <w:bookmarkEnd w:id="3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（Lawrence Ingrassia）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作家兼记者。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曾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在《纽约时报》、《华尔街日报》和《洛杉矶时报》担任高级编辑职务，监督各种问题的报道。在长达数十年的新闻生涯中，</w:t>
      </w:r>
      <w:r>
        <w:rPr>
          <w:rFonts w:hint="eastAsia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其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  <w:lang w:val="en-US" w:eastAsia="zh-CN"/>
        </w:rPr>
        <w:t>指导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的记者们获得了五次普利策奖——国内报道奖、解释性报道奖、国际报道奖和评论奖——以及波尔克奖、勒布奖和其他奖项。2009年，劳伦斯因对2008年秋季金融市场崩溃原因的报道而荣获杰拉尔德·</w:t>
      </w:r>
      <w:bookmarkStart w:id="5" w:name="_GoBack"/>
      <w:bookmarkEnd w:id="5"/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勒布奖(Gerald Loeb Awards)颁发的年度米纳德编辑奖；这篇报道还入围了普利策公共服务奖的决赛。2017年，美国商业编辑和作家协会授予其杰出成就奖。2020年4月，劳伦斯加入了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负责监督《华尔街日报》和道琼斯通讯社遵守最高道德和专业标准的独立机构</w:t>
      </w:r>
      <w:r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道琼斯特别委员会。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Segoe UI"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 w:firstLine="420" w:firstLineChars="200"/>
        <w:jc w:val="both"/>
        <w:textAlignment w:val="auto"/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劳伦斯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的第一本书《DTC创造品牌奇迹》(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/>
          <w:iCs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Billion Dollar Brand Club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)探讨了颠覆性创业公司的爆炸式增长——比如Dollar Shave Club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Harry’s、Casper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Tuft &amp; Needle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等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其他公司——创造了数字原生消费产品品牌。该报告研究了技术在营销、制造和分销等方面创造公平竞争环境的多种方式，并使这些新来者能够挑战长期占据主导地位的公司。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他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的第二本书《致命遗产》于2024年5月出版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是一本非虚构的医学之谜，也是一本关于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其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家族悲惨癌症史的回忆录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，讲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述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了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20世纪60年代末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一对年轻医生在对一些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癌症高发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家庭中看似不相关</w:t>
      </w:r>
      <w:r>
        <w:rPr>
          <w:rStyle w:val="13"/>
          <w:rFonts w:hint="eastAsia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病例进行探究</w:t>
      </w:r>
      <w:r>
        <w:rPr>
          <w:rStyle w:val="13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"/>
        </w:rPr>
        <w:t>的非凡故事。</w:t>
      </w:r>
    </w:p>
    <w:p>
      <w:pPr>
        <w:rPr>
          <w:rFonts w:hint="eastAsia"/>
          <w:b/>
          <w:color w:val="000000"/>
        </w:rPr>
      </w:pPr>
      <w:r>
        <w:rPr>
          <w:rStyle w:val="13"/>
          <w:rFonts w:hint="default" w:ascii="Times New Roman" w:hAnsi="Times New Roman" w:eastAsia="PT Sans" w:cs="Times New Roman"/>
          <w:i w:val="0"/>
          <w:iCs w:val="0"/>
          <w:caps w:val="0"/>
          <w:color w:val="auto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/>
          <w:b/>
          <w:color w:val="000000"/>
        </w:rPr>
        <w:t>媒体评价：</w:t>
      </w:r>
    </w:p>
    <w:p>
      <w:pPr>
        <w:shd w:val="clear" w:color="auto" w:fill="FFFFFF"/>
        <w:rPr>
          <w:rFonts w:hint="default" w:ascii="Times New Roman" w:hAnsi="Times New Roman" w:eastAsia="Arial" w:cs="Times New Roman"/>
          <w:b/>
          <w:bCs/>
          <w:i/>
          <w:iCs/>
          <w:caps w:val="0"/>
          <w:color w:val="0F1111"/>
          <w:spacing w:val="0"/>
          <w:sz w:val="21"/>
          <w:szCs w:val="21"/>
          <w:shd w:val="clear" w:fill="FFFFFF"/>
        </w:rPr>
      </w:pPr>
      <w:bookmarkStart w:id="4" w:name="OLE_LINK38"/>
    </w:p>
    <w:p>
      <w:pPr>
        <w:shd w:val="clear" w:color="auto" w:fill="FFFFFF"/>
        <w:ind w:firstLine="420" w:firstLineChars="200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“《致命遗传》是令人回味的致敬——不是对生物医学科学的崇高抱负，而是对英格拉西亚的家庭成员充满生机的生活的致敬，他们在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长久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等待拯救到来</w:t>
      </w:r>
      <w:r>
        <w:rPr>
          <w:rFonts w:hint="eastAsia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  <w:lang w:val="en-US" w:eastAsia="zh-CN"/>
        </w:rPr>
        <w:t>之前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如此勇敢地挣扎。”</w:t>
      </w:r>
    </w:p>
    <w:p>
      <w:pPr>
        <w:shd w:val="clear" w:color="auto" w:fill="FFFFFF"/>
        <w:ind w:left="0" w:leftChars="0"/>
        <w:jc w:val="right"/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t>——《华尔街日报》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  <w:br w:type="textWrapping"/>
      </w:r>
    </w:p>
    <w:p>
      <w:pPr>
        <w:shd w:val="clear" w:color="auto" w:fill="FFFFFF"/>
        <w:ind w:firstLine="420" w:firstLineChars="200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“令人心酸……</w:t>
      </w:r>
      <w:r>
        <w:rPr>
          <w:rFonts w:hint="eastAsia" w:cs="Times New Roman"/>
          <w:bCs/>
          <w:color w:val="000000"/>
          <w:lang w:val="en-US" w:eastAsia="zh-CN"/>
        </w:rPr>
        <w:t>五味杂陈</w:t>
      </w:r>
      <w:r>
        <w:rPr>
          <w:rFonts w:hint="default" w:ascii="Times New Roman" w:hAnsi="Times New Roman" w:cs="Times New Roman"/>
          <w:bCs/>
          <w:color w:val="000000"/>
        </w:rPr>
        <w:t>……深度报道……读者们将会对癌症研究的高风险和人性风险有一个详细的了解。”</w:t>
      </w:r>
    </w:p>
    <w:p>
      <w:pPr>
        <w:shd w:val="clear" w:color="auto" w:fill="FFFFFF"/>
        <w:jc w:val="right"/>
        <w:rPr>
          <w:rFonts w:hint="default" w:ascii="Times New Roman" w:hAnsi="Times New Roman" w:cs="Times New Roman"/>
          <w:bCs/>
          <w:color w:val="000000"/>
        </w:rPr>
      </w:pPr>
      <w:r>
        <w:rPr>
          <w:rFonts w:hint="default" w:ascii="Times New Roman" w:hAnsi="Times New Roman" w:cs="Times New Roman"/>
          <w:bCs/>
          <w:color w:val="000000"/>
        </w:rPr>
        <w:t>——《华盛顿邮报》</w:t>
      </w:r>
    </w:p>
    <w:p>
      <w:pPr>
        <w:shd w:val="clear" w:color="auto" w:fill="FFFFFF"/>
        <w:rPr>
          <w:rFonts w:hint="default" w:ascii="Times New Roman" w:hAnsi="Times New Roman" w:cs="Times New Roman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4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0E4988"/>
    <w:rsid w:val="001017C7"/>
    <w:rsid w:val="00102500"/>
    <w:rsid w:val="0010270C"/>
    <w:rsid w:val="00110260"/>
    <w:rsid w:val="0011264B"/>
    <w:rsid w:val="00121268"/>
    <w:rsid w:val="00132921"/>
    <w:rsid w:val="00134987"/>
    <w:rsid w:val="00144E11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465B9"/>
    <w:rsid w:val="002516C3"/>
    <w:rsid w:val="002523C1"/>
    <w:rsid w:val="00265795"/>
    <w:rsid w:val="002727E9"/>
    <w:rsid w:val="002770BC"/>
    <w:rsid w:val="0027765C"/>
    <w:rsid w:val="002833D8"/>
    <w:rsid w:val="00286672"/>
    <w:rsid w:val="002920E2"/>
    <w:rsid w:val="0029488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8A4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409C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CB0"/>
    <w:rsid w:val="00564FD9"/>
    <w:rsid w:val="00577215"/>
    <w:rsid w:val="005B2CF5"/>
    <w:rsid w:val="005B444D"/>
    <w:rsid w:val="005C1F27"/>
    <w:rsid w:val="005C244E"/>
    <w:rsid w:val="005C27DC"/>
    <w:rsid w:val="005D167F"/>
    <w:rsid w:val="005D3FD9"/>
    <w:rsid w:val="005D743E"/>
    <w:rsid w:val="005E1445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9524E"/>
    <w:rsid w:val="006A7FAB"/>
    <w:rsid w:val="006B088F"/>
    <w:rsid w:val="006B6CAB"/>
    <w:rsid w:val="006C1557"/>
    <w:rsid w:val="006D37ED"/>
    <w:rsid w:val="006E2E2E"/>
    <w:rsid w:val="00705A4A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833DC"/>
    <w:rsid w:val="00884FEC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28EF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A10F0C"/>
    <w:rsid w:val="00A1225E"/>
    <w:rsid w:val="00A36A56"/>
    <w:rsid w:val="00A45A3D"/>
    <w:rsid w:val="00A54A8E"/>
    <w:rsid w:val="00A704D0"/>
    <w:rsid w:val="00A71EAE"/>
    <w:rsid w:val="00A839C2"/>
    <w:rsid w:val="00A866EC"/>
    <w:rsid w:val="00A90D6D"/>
    <w:rsid w:val="00A90FC8"/>
    <w:rsid w:val="00A91D49"/>
    <w:rsid w:val="00A93A8C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9C3"/>
    <w:rsid w:val="00B7682F"/>
    <w:rsid w:val="00B77F99"/>
    <w:rsid w:val="00B801BA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58C"/>
    <w:rsid w:val="00BC6668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CD9"/>
    <w:rsid w:val="00D935FB"/>
    <w:rsid w:val="00DA3903"/>
    <w:rsid w:val="00DB3297"/>
    <w:rsid w:val="00DB37F4"/>
    <w:rsid w:val="00DB7D8F"/>
    <w:rsid w:val="00DF0BB7"/>
    <w:rsid w:val="00E00CC0"/>
    <w:rsid w:val="00E0319C"/>
    <w:rsid w:val="00E132E9"/>
    <w:rsid w:val="00E15659"/>
    <w:rsid w:val="00E157EF"/>
    <w:rsid w:val="00E351D6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2519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9F54765"/>
    <w:rsid w:val="0AA822B2"/>
    <w:rsid w:val="0B2F234E"/>
    <w:rsid w:val="0C1B0437"/>
    <w:rsid w:val="0DD74BE8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18B35FB4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1291EE2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6784015"/>
    <w:rsid w:val="59F00E16"/>
    <w:rsid w:val="5A1E61D2"/>
    <w:rsid w:val="5B237E93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90A6A65"/>
    <w:rsid w:val="6E9A5873"/>
    <w:rsid w:val="6F6B79D9"/>
    <w:rsid w:val="714C3AC4"/>
    <w:rsid w:val="724427AD"/>
    <w:rsid w:val="72682163"/>
    <w:rsid w:val="73B21D95"/>
    <w:rsid w:val="73D3309A"/>
    <w:rsid w:val="761E4C8C"/>
    <w:rsid w:val="77E96C58"/>
    <w:rsid w:val="79200D1B"/>
    <w:rsid w:val="795D1E91"/>
    <w:rsid w:val="79B77DA5"/>
    <w:rsid w:val="79E65AC0"/>
    <w:rsid w:val="7B9B1FB8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a-text-bold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1679</Words>
  <Characters>2274</Characters>
  <Lines>11</Lines>
  <Paragraphs>3</Paragraphs>
  <TotalTime>16</TotalTime>
  <ScaleCrop>false</ScaleCrop>
  <LinksUpToDate>false</LinksUpToDate>
  <CharactersWithSpaces>2343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2024-07-16T07:20:13Z</dcterms:modified>
  <dc:title>新 书 推 荐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C5617893968A49848D9D73DD1D545248_13</vt:lpwstr>
  </property>
</Properties>
</file>