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02F26">
      <w:pPr>
        <w:ind w:firstLine="3629" w:firstLineChars="1004"/>
        <w:rPr>
          <w:rFonts w:hint="eastAsia"/>
          <w:b/>
          <w:bCs/>
          <w:sz w:val="36"/>
          <w:shd w:val="pct10" w:color="auto" w:fill="FFFFFF"/>
        </w:rPr>
      </w:pPr>
      <w:r>
        <w:rPr>
          <w:rFonts w:hint="eastAsia"/>
          <w:b/>
          <w:bCs/>
          <w:sz w:val="36"/>
          <w:shd w:val="pct10" w:color="auto" w:fill="FFFFFF"/>
        </w:rPr>
        <w:t>新 书 推 荐</w:t>
      </w:r>
    </w:p>
    <w:p w14:paraId="3AD63520">
      <w:pPr>
        <w:ind w:firstLine="3629" w:firstLineChars="1004"/>
        <w:rPr>
          <w:b/>
          <w:bCs/>
          <w:sz w:val="36"/>
        </w:rPr>
      </w:pPr>
    </w:p>
    <w:p w14:paraId="09CC96E4">
      <w:pPr>
        <w:tabs>
          <w:tab w:val="left" w:pos="341"/>
          <w:tab w:val="left" w:pos="5235"/>
        </w:tabs>
        <w:rPr>
          <w:rFonts w:hint="eastAsia"/>
          <w:b/>
          <w:bCs/>
          <w:color w:val="000000"/>
          <w:sz w:val="21"/>
          <w:szCs w:val="21"/>
          <w:highlight w:val="none"/>
        </w:rPr>
      </w:pPr>
      <w:r>
        <w:rPr>
          <w:sz w:val="21"/>
          <w:szCs w:val="21"/>
          <w:highlight w:val="none"/>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6-28 180004.png屏幕截图 2024-06-28 18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6-28 180004.png屏幕截图 2024-06-28 180004"/>
                    <pic:cNvPicPr>
                      <a:picLocks noChangeAspect="1"/>
                    </pic:cNvPicPr>
                  </pic:nvPicPr>
                  <pic:blipFill>
                    <a:blip r:embed="rId6"/>
                    <a:srcRect t="1321" b="1321"/>
                    <a:stretch>
                      <a:fillRect/>
                    </a:stretch>
                  </pic:blipFill>
                  <pic:spPr>
                    <a:xfrm>
                      <a:off x="0" y="0"/>
                      <a:ext cx="1369695" cy="2031365"/>
                    </a:xfrm>
                    <a:prstGeom prst="rect">
                      <a:avLst/>
                    </a:prstGeom>
                    <a:noFill/>
                    <a:ln>
                      <a:noFill/>
                    </a:ln>
                  </pic:spPr>
                </pic:pic>
              </a:graphicData>
            </a:graphic>
          </wp:anchor>
        </w:drawing>
      </w:r>
      <w:r>
        <w:rPr>
          <w:b/>
          <w:bCs/>
          <w:color w:val="000000"/>
          <w:sz w:val="21"/>
          <w:szCs w:val="21"/>
          <w:highlight w:val="none"/>
        </w:rPr>
        <w:t>中文书名：</w:t>
      </w:r>
      <w:bookmarkStart w:id="0" w:name="_Hlt89834866"/>
      <w:bookmarkEnd w:id="0"/>
      <w:r>
        <w:rPr>
          <w:rFonts w:hint="eastAsia"/>
          <w:b/>
          <w:bCs/>
          <w:color w:val="000000"/>
          <w:sz w:val="21"/>
          <w:szCs w:val="21"/>
          <w:highlight w:val="none"/>
        </w:rPr>
        <w:t>《</w:t>
      </w:r>
      <w:r>
        <w:rPr>
          <w:rFonts w:hint="eastAsia"/>
          <w:b/>
          <w:bCs/>
          <w:color w:val="000000"/>
          <w:sz w:val="21"/>
          <w:szCs w:val="21"/>
          <w:highlight w:val="none"/>
          <w:lang w:val="en-US" w:eastAsia="zh-CN"/>
        </w:rPr>
        <w:t>政治话语分析：危机与冲突中的合法化策略</w:t>
      </w:r>
      <w:r>
        <w:rPr>
          <w:rFonts w:hint="eastAsia"/>
          <w:b/>
          <w:bCs/>
          <w:color w:val="000000"/>
          <w:sz w:val="21"/>
          <w:szCs w:val="21"/>
          <w:highlight w:val="none"/>
        </w:rPr>
        <w:t>》</w:t>
      </w:r>
    </w:p>
    <w:p w14:paraId="4E8E6DFC">
      <w:pPr>
        <w:tabs>
          <w:tab w:val="left" w:pos="341"/>
          <w:tab w:val="left" w:pos="5235"/>
        </w:tabs>
        <w:jc w:val="left"/>
        <w:rPr>
          <w:rFonts w:hint="default"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t>
      </w:r>
      <w:r>
        <w:rPr>
          <w:rFonts w:hint="eastAsia"/>
          <w:b/>
          <w:bCs/>
          <w:i/>
          <w:iCs/>
          <w:color w:val="000000"/>
          <w:sz w:val="21"/>
          <w:szCs w:val="21"/>
          <w:lang w:val="en-US" w:eastAsia="zh-CN"/>
        </w:rPr>
        <w:t>Political Discourse Analysis: Legitimisation Strategies in Crisis and Conflict</w:t>
      </w:r>
    </w:p>
    <w:p w14:paraId="773EB61A">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Robert Butler</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14:paraId="3DD2A21F">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lang w:val="en-US" w:eastAsia="zh-CN"/>
        </w:rPr>
        <w:t>Edinburgh University Press</w:t>
      </w:r>
    </w:p>
    <w:p w14:paraId="1210EE9E">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14:paraId="7D750AFF">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220</w:t>
      </w:r>
      <w:r>
        <w:rPr>
          <w:rFonts w:hint="eastAsia"/>
          <w:b/>
          <w:bCs/>
          <w:color w:val="000000"/>
          <w:sz w:val="21"/>
          <w:szCs w:val="21"/>
        </w:rPr>
        <w:t>页</w:t>
      </w:r>
    </w:p>
    <w:p w14:paraId="0C646472">
      <w:pPr>
        <w:tabs>
          <w:tab w:val="left" w:pos="341"/>
          <w:tab w:val="left" w:pos="5235"/>
        </w:tabs>
        <w:rPr>
          <w:b/>
          <w:bCs/>
          <w:color w:val="000000"/>
          <w:sz w:val="21"/>
          <w:szCs w:val="21"/>
        </w:rPr>
      </w:pPr>
      <w:r>
        <w:rPr>
          <w:b/>
          <w:bCs/>
          <w:color w:val="000000"/>
          <w:sz w:val="21"/>
          <w:szCs w:val="21"/>
        </w:rPr>
        <w:t>出版时间：20</w:t>
      </w:r>
      <w:r>
        <w:rPr>
          <w:rFonts w:hint="eastAsia"/>
          <w:b/>
          <w:bCs/>
          <w:color w:val="000000"/>
          <w:sz w:val="21"/>
          <w:szCs w:val="21"/>
          <w:lang w:val="en-US" w:eastAsia="zh-CN"/>
        </w:rPr>
        <w:t>24</w:t>
      </w:r>
      <w:r>
        <w:rPr>
          <w:b/>
          <w:bCs/>
          <w:color w:val="000000"/>
          <w:sz w:val="21"/>
          <w:szCs w:val="21"/>
        </w:rPr>
        <w:t>年</w:t>
      </w:r>
      <w:r>
        <w:rPr>
          <w:rFonts w:hint="eastAsia"/>
          <w:b/>
          <w:bCs/>
          <w:color w:val="000000"/>
          <w:sz w:val="21"/>
          <w:szCs w:val="21"/>
          <w:lang w:val="en-US" w:eastAsia="zh-CN"/>
        </w:rPr>
        <w:t>3</w:t>
      </w:r>
      <w:r>
        <w:rPr>
          <w:b/>
          <w:bCs/>
          <w:color w:val="000000"/>
          <w:sz w:val="21"/>
          <w:szCs w:val="21"/>
        </w:rPr>
        <w:t>月</w:t>
      </w:r>
    </w:p>
    <w:p w14:paraId="5BE3C29B">
      <w:pPr>
        <w:rPr>
          <w:b/>
          <w:bCs/>
          <w:color w:val="000000"/>
          <w:sz w:val="21"/>
          <w:szCs w:val="21"/>
        </w:rPr>
      </w:pPr>
      <w:r>
        <w:rPr>
          <w:b/>
          <w:bCs/>
          <w:color w:val="000000"/>
          <w:sz w:val="21"/>
          <w:szCs w:val="21"/>
        </w:rPr>
        <w:t>代理地区：中国大陆、台湾</w:t>
      </w:r>
    </w:p>
    <w:p w14:paraId="4C21CD1A">
      <w:pPr>
        <w:tabs>
          <w:tab w:val="left" w:pos="341"/>
          <w:tab w:val="left" w:pos="5235"/>
        </w:tabs>
        <w:rPr>
          <w:rFonts w:hint="eastAsia"/>
          <w:b/>
          <w:bCs/>
          <w:sz w:val="21"/>
          <w:szCs w:val="21"/>
        </w:rPr>
      </w:pPr>
      <w:r>
        <w:rPr>
          <w:b/>
          <w:bCs/>
          <w:sz w:val="21"/>
          <w:szCs w:val="21"/>
        </w:rPr>
        <w:t>审读资料：电子稿</w:t>
      </w:r>
    </w:p>
    <w:p w14:paraId="7DCF7884">
      <w:pPr>
        <w:tabs>
          <w:tab w:val="left" w:pos="341"/>
          <w:tab w:val="left" w:pos="5235"/>
        </w:tabs>
        <w:rPr>
          <w:rFonts w:hint="eastAsia" w:eastAsia="宋体"/>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社会科学</w:t>
      </w:r>
    </w:p>
    <w:p w14:paraId="6008954F">
      <w:pPr>
        <w:rPr>
          <w:rFonts w:hint="eastAsia" w:ascii="Arial" w:hAnsi="Arial" w:cs="Arial"/>
          <w:b/>
          <w:bCs/>
          <w:color w:val="000000"/>
          <w:spacing w:val="-3"/>
          <w:sz w:val="21"/>
          <w:szCs w:val="21"/>
          <w:shd w:val="clear" w:color="auto" w:fill="FFFFFF"/>
        </w:rPr>
      </w:pPr>
    </w:p>
    <w:p w14:paraId="305D84D9">
      <w:pPr>
        <w:rPr>
          <w:rFonts w:hint="eastAsia"/>
          <w:b/>
          <w:bCs/>
          <w:color w:val="000000"/>
          <w:sz w:val="21"/>
          <w:szCs w:val="21"/>
        </w:rPr>
      </w:pPr>
      <w:r>
        <w:rPr>
          <w:b/>
          <w:bCs/>
          <w:color w:val="000000"/>
          <w:sz w:val="21"/>
          <w:szCs w:val="21"/>
        </w:rPr>
        <w:t>内容简介：</w:t>
      </w:r>
    </w:p>
    <w:p w14:paraId="32CF91E9">
      <w:pPr>
        <w:rPr>
          <w:rFonts w:hint="eastAsia"/>
          <w:b/>
          <w:bCs/>
          <w:color w:val="000000"/>
          <w:sz w:val="21"/>
          <w:szCs w:val="21"/>
          <w:lang w:val="en-US" w:eastAsia="zh-CN"/>
        </w:rPr>
      </w:pPr>
      <w:r>
        <w:rPr>
          <w:rFonts w:hint="eastAsia"/>
          <w:b/>
          <w:bCs/>
          <w:color w:val="000000"/>
          <w:sz w:val="21"/>
          <w:szCs w:val="21"/>
          <w:lang w:val="en-US" w:eastAsia="zh-CN"/>
        </w:rPr>
        <w:t xml:space="preserve">   </w:t>
      </w:r>
    </w:p>
    <w:p w14:paraId="029458E0">
      <w:pPr>
        <w:numPr>
          <w:ilvl w:val="0"/>
          <w:numId w:val="2"/>
        </w:numPr>
        <w:ind w:left="840" w:leftChars="0" w:hanging="420" w:firstLineChars="0"/>
        <w:rPr>
          <w:rFonts w:hint="default"/>
          <w:b/>
          <w:bCs/>
          <w:color w:val="000000"/>
          <w:sz w:val="21"/>
          <w:szCs w:val="21"/>
          <w:lang w:val="en-US" w:eastAsia="zh-CN"/>
        </w:rPr>
      </w:pPr>
      <w:r>
        <w:rPr>
          <w:rFonts w:hint="default"/>
          <w:b/>
          <w:bCs/>
          <w:color w:val="000000"/>
          <w:sz w:val="21"/>
          <w:szCs w:val="21"/>
          <w:lang w:val="en-US" w:eastAsia="zh-CN"/>
        </w:rPr>
        <w:t>分析全球政治体制如何应对其政策</w:t>
      </w:r>
      <w:r>
        <w:rPr>
          <w:rFonts w:hint="eastAsia"/>
          <w:b/>
          <w:bCs/>
          <w:color w:val="000000"/>
          <w:sz w:val="21"/>
          <w:szCs w:val="21"/>
          <w:lang w:val="en-US" w:eastAsia="zh-CN"/>
        </w:rPr>
        <w:t>，甚至是体制本身所面临的</w:t>
      </w:r>
      <w:r>
        <w:rPr>
          <w:rFonts w:hint="default"/>
          <w:b/>
          <w:bCs/>
          <w:color w:val="000000"/>
          <w:sz w:val="21"/>
          <w:szCs w:val="21"/>
          <w:lang w:val="en-US" w:eastAsia="zh-CN"/>
        </w:rPr>
        <w:t>挑战和威胁</w:t>
      </w:r>
    </w:p>
    <w:p w14:paraId="107EA893">
      <w:pPr>
        <w:numPr>
          <w:ilvl w:val="0"/>
          <w:numId w:val="2"/>
        </w:numPr>
        <w:ind w:left="840" w:leftChars="0" w:hanging="420" w:firstLineChars="0"/>
        <w:rPr>
          <w:rFonts w:hint="default"/>
          <w:b/>
          <w:bCs/>
          <w:color w:val="000000"/>
          <w:sz w:val="21"/>
          <w:szCs w:val="21"/>
          <w:lang w:val="en-US" w:eastAsia="zh-CN"/>
        </w:rPr>
      </w:pPr>
      <w:r>
        <w:rPr>
          <w:rFonts w:hint="default"/>
          <w:b/>
          <w:bCs/>
          <w:color w:val="000000"/>
          <w:sz w:val="21"/>
          <w:szCs w:val="21"/>
          <w:lang w:val="en-US" w:eastAsia="zh-CN"/>
        </w:rPr>
        <w:t>将当前的语言学批判性话语研究与合法化理论</w:t>
      </w:r>
      <w:r>
        <w:rPr>
          <w:rFonts w:hint="eastAsia"/>
          <w:b/>
          <w:bCs/>
          <w:color w:val="000000"/>
          <w:sz w:val="21"/>
          <w:szCs w:val="21"/>
          <w:lang w:val="en-US" w:eastAsia="zh-CN"/>
        </w:rPr>
        <w:t>相结合</w:t>
      </w:r>
    </w:p>
    <w:p w14:paraId="7701730F">
      <w:pPr>
        <w:numPr>
          <w:ilvl w:val="0"/>
          <w:numId w:val="2"/>
        </w:numPr>
        <w:ind w:left="840" w:leftChars="0" w:hanging="420" w:firstLineChars="0"/>
        <w:rPr>
          <w:rFonts w:hint="default"/>
          <w:b/>
          <w:bCs/>
          <w:color w:val="000000"/>
          <w:sz w:val="21"/>
          <w:szCs w:val="21"/>
          <w:lang w:val="en-US" w:eastAsia="zh-CN"/>
        </w:rPr>
      </w:pPr>
      <w:r>
        <w:rPr>
          <w:rFonts w:hint="default"/>
          <w:b/>
          <w:bCs/>
          <w:color w:val="000000"/>
          <w:sz w:val="21"/>
          <w:szCs w:val="21"/>
          <w:lang w:val="en-US" w:eastAsia="zh-CN"/>
        </w:rPr>
        <w:t>将政治行动者在</w:t>
      </w:r>
      <w:r>
        <w:rPr>
          <w:rFonts w:hint="eastAsia"/>
          <w:b/>
          <w:bCs/>
          <w:color w:val="000000"/>
          <w:sz w:val="21"/>
          <w:szCs w:val="21"/>
          <w:lang w:val="en-US" w:eastAsia="zh-CN"/>
        </w:rPr>
        <w:t>不同</w:t>
      </w:r>
      <w:r>
        <w:rPr>
          <w:rFonts w:hint="default"/>
          <w:b/>
          <w:bCs/>
          <w:color w:val="000000"/>
          <w:sz w:val="21"/>
          <w:szCs w:val="21"/>
          <w:lang w:val="en-US" w:eastAsia="zh-CN"/>
        </w:rPr>
        <w:t xml:space="preserve">情况下可采用的不同话语策略制度、媒体流派和危机管理因素 </w:t>
      </w:r>
      <w:r>
        <w:rPr>
          <w:rFonts w:hint="eastAsia"/>
          <w:b/>
          <w:bCs/>
          <w:color w:val="000000"/>
          <w:sz w:val="21"/>
          <w:szCs w:val="21"/>
          <w:lang w:val="en-US" w:eastAsia="zh-CN"/>
        </w:rPr>
        <w:t>重新整合</w:t>
      </w:r>
    </w:p>
    <w:p w14:paraId="5D70A8D4">
      <w:pPr>
        <w:numPr>
          <w:ilvl w:val="0"/>
          <w:numId w:val="0"/>
        </w:numPr>
        <w:ind w:left="420" w:leftChars="0"/>
        <w:rPr>
          <w:rFonts w:hint="default"/>
          <w:b/>
          <w:bCs/>
          <w:color w:val="000000"/>
          <w:sz w:val="21"/>
          <w:szCs w:val="21"/>
          <w:lang w:val="en-US" w:eastAsia="zh-CN"/>
        </w:rPr>
      </w:pPr>
    </w:p>
    <w:p w14:paraId="300CF74B">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本书探讨了社会各阶层和各种制度下的政治行为者所面临的挑战，展示了话语合法化策略如何在一个连续体上变化，从制度话语的稳定效果和对新型媒体中固有的不稳定因素的管理，到修辞手段的不稳定潜力和用于攻击对手的故意非合法化策略。</w:t>
      </w:r>
    </w:p>
    <w:p w14:paraId="395F3FE4">
      <w:pPr>
        <w:rPr>
          <w:rFonts w:hint="eastAsia"/>
          <w:b/>
          <w:bCs/>
          <w:color w:val="000000"/>
          <w:sz w:val="21"/>
          <w:szCs w:val="21"/>
          <w:lang w:val="en-US" w:eastAsia="zh-CN"/>
        </w:rPr>
      </w:pPr>
    </w:p>
    <w:p w14:paraId="2E230F8A">
      <w:pPr>
        <w:rPr>
          <w:b/>
          <w:color w:val="000000"/>
          <w:sz w:val="21"/>
          <w:szCs w:val="21"/>
        </w:rPr>
      </w:pPr>
      <w:r>
        <w:rPr>
          <w:b/>
          <w:color w:val="000000"/>
          <w:sz w:val="21"/>
          <w:szCs w:val="21"/>
        </w:rPr>
        <w:t>作者简介：</w:t>
      </w:r>
    </w:p>
    <w:p w14:paraId="458899D9">
      <w:pPr>
        <w:rPr>
          <w:rFonts w:hint="eastAsia" w:ascii="宋体" w:hAnsi="宋体" w:eastAsia="宋体" w:cs="宋体"/>
          <w:b/>
          <w:color w:val="000000"/>
          <w:sz w:val="21"/>
          <w:szCs w:val="21"/>
        </w:rPr>
      </w:pPr>
    </w:p>
    <w:p w14:paraId="5DFD5E69">
      <w:pPr>
        <w:widowControl w:val="0"/>
        <w:numPr>
          <w:ilvl w:val="0"/>
          <w:numId w:val="0"/>
        </w:numPr>
        <w:ind w:firstLine="422" w:firstLineChars="200"/>
        <w:jc w:val="both"/>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罗伯特·巴特勒（</w:t>
      </w:r>
      <w:r>
        <w:rPr>
          <w:rFonts w:hint="eastAsia"/>
          <w:b/>
          <w:bCs/>
          <w:color w:val="000000"/>
          <w:sz w:val="21"/>
          <w:szCs w:val="21"/>
          <w:lang w:val="en-US" w:eastAsia="zh-CN"/>
        </w:rPr>
        <w:t>Robert Butler</w:t>
      </w:r>
      <w:r>
        <w:rPr>
          <w:rFonts w:hint="eastAsia" w:cs="Times New Roman"/>
          <w:b/>
          <w:bCs/>
          <w:color w:val="000000"/>
          <w:sz w:val="21"/>
          <w:szCs w:val="21"/>
          <w:lang w:val="en-US" w:eastAsia="zh-CN"/>
        </w:rPr>
        <w:t>）</w:t>
      </w:r>
      <w:r>
        <w:rPr>
          <w:rFonts w:hint="eastAsia" w:cs="Times New Roman"/>
          <w:b w:val="0"/>
          <w:bCs w:val="0"/>
          <w:color w:val="000000"/>
          <w:sz w:val="21"/>
          <w:szCs w:val="21"/>
          <w:lang w:val="en-US" w:eastAsia="zh-CN"/>
        </w:rPr>
        <w:t>是洛林大学艺术与语言学院的高级讲师，也是英语研究跨学科研究小组的成员。其研究兴趣包括话语、认知和多模态，主要是在政治领域。他发表的作品主要关注政治管理策略中的力量动态。2013年至2016年，他是法国国家CAPES（竞争性教师培训）考试委员会成员。</w:t>
      </w:r>
    </w:p>
    <w:p w14:paraId="182ED202">
      <w:pPr>
        <w:widowControl w:val="0"/>
        <w:numPr>
          <w:ilvl w:val="0"/>
          <w:numId w:val="0"/>
        </w:numPr>
        <w:ind w:firstLine="420" w:firstLineChars="200"/>
        <w:jc w:val="both"/>
        <w:rPr>
          <w:rFonts w:hint="eastAsia" w:cs="Times New Roman"/>
          <w:b w:val="0"/>
          <w:bCs w:val="0"/>
          <w:color w:val="000000"/>
          <w:sz w:val="21"/>
          <w:szCs w:val="21"/>
          <w:lang w:val="en-US" w:eastAsia="zh-CN"/>
        </w:rPr>
      </w:pPr>
    </w:p>
    <w:p w14:paraId="66E89D2C">
      <w:pPr>
        <w:widowControl w:val="0"/>
        <w:numPr>
          <w:ilvl w:val="0"/>
          <w:numId w:val="0"/>
        </w:numPr>
        <w:jc w:val="both"/>
        <w:rPr>
          <w:rFonts w:hint="eastAsia" w:cs="Times New Roman"/>
          <w:b/>
          <w:bCs/>
          <w:color w:val="000000"/>
          <w:sz w:val="21"/>
          <w:szCs w:val="21"/>
          <w:lang w:val="en-US" w:eastAsia="zh-CN"/>
        </w:rPr>
      </w:pPr>
      <w:r>
        <w:rPr>
          <w:rFonts w:hint="eastAsia" w:cs="Times New Roman"/>
          <w:b/>
          <w:bCs/>
          <w:color w:val="000000"/>
          <w:sz w:val="21"/>
          <w:szCs w:val="21"/>
          <w:lang w:val="en-US" w:eastAsia="zh-CN"/>
        </w:rPr>
        <w:t>媒体评价：</w:t>
      </w:r>
    </w:p>
    <w:p w14:paraId="17EEBA25">
      <w:pPr>
        <w:widowControl w:val="0"/>
        <w:numPr>
          <w:ilvl w:val="0"/>
          <w:numId w:val="0"/>
        </w:numPr>
        <w:jc w:val="both"/>
        <w:rPr>
          <w:rFonts w:hint="eastAsia" w:cs="Times New Roman"/>
          <w:b/>
          <w:bCs/>
          <w:color w:val="000000"/>
          <w:sz w:val="21"/>
          <w:szCs w:val="21"/>
          <w:lang w:val="en-US" w:eastAsia="zh-CN"/>
        </w:rPr>
      </w:pPr>
    </w:p>
    <w:p w14:paraId="0C6D41C6">
      <w:pPr>
        <w:widowControl w:val="0"/>
        <w:numPr>
          <w:ilvl w:val="0"/>
          <w:numId w:val="0"/>
        </w:numPr>
        <w:ind w:firstLine="420" w:firstLineChars="200"/>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对政治话语分析的深刻贡献，解决了危机和冲突背景下合法化策略的及时主题。这本书涵盖了一系列令人印象深刻的话语流派、模式和文化，包括来自非洲、亚洲、欧洲和美国政治家、环境活动家和其他社会行动者的话语。不仅是政治话语学者的必读读物，也是对批评话语分析感兴趣的研究人员的必读读物。</w:t>
      </w:r>
      <w:r>
        <w:rPr>
          <w:rFonts w:hint="eastAsia" w:cs="Times New Roman"/>
          <w:b w:val="0"/>
          <w:bCs w:val="0"/>
          <w:color w:val="000000"/>
          <w:sz w:val="21"/>
          <w:szCs w:val="21"/>
          <w:lang w:val="en-US" w:eastAsia="zh-CN"/>
        </w:rPr>
        <w:t>”</w:t>
      </w:r>
    </w:p>
    <w:p w14:paraId="1CECE57E">
      <w:pPr>
        <w:widowControl w:val="0"/>
        <w:numPr>
          <w:ilvl w:val="0"/>
          <w:numId w:val="0"/>
        </w:numPr>
        <w:jc w:val="both"/>
        <w:rPr>
          <w:rFonts w:hint="default" w:cs="Times New Roman"/>
          <w:b w:val="0"/>
          <w:bCs w:val="0"/>
          <w:color w:val="000000"/>
          <w:sz w:val="21"/>
          <w:szCs w:val="21"/>
          <w:lang w:val="en-US" w:eastAsia="zh-CN"/>
        </w:rPr>
      </w:pPr>
    </w:p>
    <w:p w14:paraId="52D2134B">
      <w:pPr>
        <w:widowControl w:val="0"/>
        <w:numPr>
          <w:ilvl w:val="0"/>
          <w:numId w:val="0"/>
        </w:numPr>
        <w:jc w:val="right"/>
        <w:rPr>
          <w:rFonts w:hint="default" w:cs="Times New Roman"/>
          <w:b w:val="0"/>
          <w:bCs w:val="0"/>
          <w:color w:val="000000"/>
          <w:sz w:val="21"/>
          <w:szCs w:val="21"/>
          <w:lang w:val="en-US" w:eastAsia="zh-CN"/>
        </w:rPr>
      </w:pPr>
      <w:r>
        <w:rPr>
          <w:rFonts w:hint="default" w:cs="Times New Roman"/>
          <w:b w:val="0"/>
          <w:bCs w:val="0"/>
          <w:color w:val="000000"/>
          <w:sz w:val="21"/>
          <w:szCs w:val="21"/>
          <w:lang w:val="en-US" w:eastAsia="zh-CN"/>
        </w:rPr>
        <w:t>——Laura Hidalgo-Downing，马德里自治大学</w:t>
      </w:r>
    </w:p>
    <w:p w14:paraId="08D6004E">
      <w:pPr>
        <w:widowControl w:val="0"/>
        <w:numPr>
          <w:ilvl w:val="0"/>
          <w:numId w:val="0"/>
        </w:numPr>
        <w:jc w:val="both"/>
        <w:rPr>
          <w:rFonts w:hint="default" w:cs="Times New Roman"/>
          <w:b w:val="0"/>
          <w:bCs w:val="0"/>
          <w:color w:val="000000"/>
          <w:sz w:val="21"/>
          <w:szCs w:val="21"/>
          <w:lang w:val="en-US" w:eastAsia="zh-CN"/>
        </w:rPr>
      </w:pPr>
    </w:p>
    <w:p w14:paraId="7BA186C0">
      <w:pPr>
        <w:widowControl w:val="0"/>
        <w:numPr>
          <w:ilvl w:val="0"/>
          <w:numId w:val="0"/>
        </w:numPr>
        <w:ind w:firstLine="420" w:firstLineChars="200"/>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政治话语分析</w:t>
      </w: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是一项非常必要的工作。这是一本有影响力的书，它巧妙地分析了政治家在当前社会和政治气候中使用的关键话语策略。它的九个章节为当今政治话语的交际方面提供了一个原创的，批判性的见解。</w:t>
      </w:r>
      <w:r>
        <w:rPr>
          <w:rFonts w:hint="eastAsia" w:cs="Times New Roman"/>
          <w:b w:val="0"/>
          <w:bCs w:val="0"/>
          <w:color w:val="000000"/>
          <w:sz w:val="21"/>
          <w:szCs w:val="21"/>
          <w:lang w:val="en-US" w:eastAsia="zh-CN"/>
        </w:rPr>
        <w:t>”</w:t>
      </w:r>
    </w:p>
    <w:p w14:paraId="52180F4C">
      <w:pPr>
        <w:widowControl w:val="0"/>
        <w:numPr>
          <w:ilvl w:val="0"/>
          <w:numId w:val="0"/>
        </w:numPr>
        <w:jc w:val="both"/>
        <w:rPr>
          <w:rFonts w:hint="default" w:cs="Times New Roman"/>
          <w:b w:val="0"/>
          <w:bCs w:val="0"/>
          <w:color w:val="000000"/>
          <w:sz w:val="21"/>
          <w:szCs w:val="21"/>
          <w:lang w:val="en-US" w:eastAsia="zh-CN"/>
        </w:rPr>
      </w:pPr>
    </w:p>
    <w:p w14:paraId="4AB5E025">
      <w:pPr>
        <w:widowControl w:val="0"/>
        <w:numPr>
          <w:ilvl w:val="0"/>
          <w:numId w:val="0"/>
        </w:numPr>
        <w:jc w:val="right"/>
        <w:rPr>
          <w:rFonts w:hint="default" w:cs="Times New Roman"/>
          <w:b w:val="0"/>
          <w:bCs w:val="0"/>
          <w:color w:val="000000"/>
          <w:sz w:val="21"/>
          <w:szCs w:val="21"/>
          <w:lang w:val="en-US" w:eastAsia="zh-CN"/>
        </w:rPr>
      </w:pPr>
      <w:r>
        <w:rPr>
          <w:rFonts w:hint="default" w:cs="Times New Roman"/>
          <w:b w:val="0"/>
          <w:bCs w:val="0"/>
          <w:color w:val="000000"/>
          <w:sz w:val="21"/>
          <w:szCs w:val="21"/>
          <w:lang w:val="en-US" w:eastAsia="zh-CN"/>
        </w:rPr>
        <w:t>——Massimiliano Demata，都灵大学</w:t>
      </w:r>
    </w:p>
    <w:p w14:paraId="3C0D2C9E">
      <w:pPr>
        <w:widowControl w:val="0"/>
        <w:numPr>
          <w:ilvl w:val="0"/>
          <w:numId w:val="0"/>
        </w:numPr>
        <w:jc w:val="both"/>
        <w:rPr>
          <w:rFonts w:hint="eastAsia" w:cs="Times New Roman"/>
          <w:b/>
          <w:bCs/>
          <w:color w:val="000000"/>
          <w:sz w:val="21"/>
          <w:szCs w:val="21"/>
          <w:lang w:val="en-US" w:eastAsia="zh-CN"/>
        </w:rPr>
      </w:pPr>
    </w:p>
    <w:p w14:paraId="401FDF1B">
      <w:pPr>
        <w:widowControl w:val="0"/>
        <w:numPr>
          <w:ilvl w:val="0"/>
          <w:numId w:val="0"/>
        </w:numPr>
        <w:jc w:val="both"/>
        <w:rPr>
          <w:rFonts w:hint="eastAsia" w:cs="Times New Roman"/>
          <w:b/>
          <w:bCs/>
          <w:color w:val="000000"/>
          <w:sz w:val="21"/>
          <w:szCs w:val="21"/>
          <w:lang w:val="en-US" w:eastAsia="zh-CN"/>
        </w:rPr>
      </w:pPr>
      <w:bookmarkStart w:id="1" w:name="_GoBack"/>
      <w:bookmarkEnd w:id="1"/>
      <w:r>
        <w:rPr>
          <w:rFonts w:hint="eastAsia" w:cs="Times New Roman"/>
          <w:b/>
          <w:bCs/>
          <w:color w:val="000000"/>
          <w:sz w:val="21"/>
          <w:szCs w:val="21"/>
          <w:lang w:val="en-US" w:eastAsia="zh-CN"/>
        </w:rPr>
        <w:t>全书目录：</w:t>
      </w:r>
    </w:p>
    <w:p w14:paraId="2101CAA6">
      <w:pPr>
        <w:widowControl w:val="0"/>
        <w:numPr>
          <w:ilvl w:val="0"/>
          <w:numId w:val="0"/>
        </w:numPr>
        <w:jc w:val="both"/>
        <w:rPr>
          <w:rFonts w:hint="eastAsia" w:cs="Times New Roman"/>
          <w:b w:val="0"/>
          <w:bCs w:val="0"/>
          <w:color w:val="000000"/>
          <w:sz w:val="21"/>
          <w:szCs w:val="21"/>
          <w:lang w:val="en-US" w:eastAsia="zh-CN"/>
        </w:rPr>
      </w:pPr>
    </w:p>
    <w:p w14:paraId="741239DF">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人物名录</w:t>
      </w:r>
    </w:p>
    <w:p w14:paraId="2D9CFC8C">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贡献者名录</w:t>
      </w:r>
    </w:p>
    <w:p w14:paraId="77B4439C">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前言</w:t>
      </w:r>
    </w:p>
    <w:p w14:paraId="511575A5">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致谢</w:t>
      </w:r>
    </w:p>
    <w:p w14:paraId="4FE242CE">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简介：非合法化政治世界下的合法化策略</w:t>
      </w:r>
    </w:p>
    <w:p w14:paraId="022A0306">
      <w:pPr>
        <w:widowControl w:val="0"/>
        <w:numPr>
          <w:ilvl w:val="0"/>
          <w:numId w:val="0"/>
        </w:numPr>
        <w:jc w:val="both"/>
        <w:rPr>
          <w:rFonts w:hint="eastAsia"/>
          <w:b w:val="0"/>
          <w:bCs w:val="0"/>
          <w:color w:val="000000"/>
          <w:szCs w:val="21"/>
          <w:lang w:val="en-US" w:eastAsia="zh-CN"/>
        </w:rPr>
      </w:pPr>
    </w:p>
    <w:p w14:paraId="28F32D6F">
      <w:pPr>
        <w:widowControl w:val="0"/>
        <w:numPr>
          <w:ilvl w:val="0"/>
          <w:numId w:val="0"/>
        </w:numPr>
        <w:jc w:val="both"/>
        <w:rPr>
          <w:rFonts w:hint="eastAsia"/>
          <w:b/>
          <w:bCs/>
          <w:color w:val="000000"/>
          <w:szCs w:val="21"/>
          <w:lang w:val="en-US" w:eastAsia="zh-CN"/>
        </w:rPr>
      </w:pPr>
      <w:r>
        <w:rPr>
          <w:rFonts w:hint="eastAsia"/>
          <w:b/>
          <w:bCs/>
          <w:color w:val="000000"/>
          <w:szCs w:val="21"/>
          <w:lang w:val="en-US" w:eastAsia="zh-CN"/>
        </w:rPr>
        <w:t>第一部分 制度背景下的合法化作用</w:t>
      </w:r>
    </w:p>
    <w:p w14:paraId="2D95E10A">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第一章 当代中国的教育与政治社会化：从制度话语到教材（基娅拉·贝尔图莱西）</w:t>
      </w:r>
    </w:p>
    <w:p w14:paraId="268B2CCC">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第二章 联合国关于暴力侵害妇女行为的话语中的平滑过程：一个非同步视角（萨莉亚·阿珍妮）</w:t>
      </w:r>
    </w:p>
    <w:p w14:paraId="7758A4C6">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第三章 谁称谁为民粹主义者？对法国和西班牙议会辩论中使用民粹主义和民粹主义的实用分析（娜杰日达·什奇诺娃）</w:t>
      </w:r>
    </w:p>
    <w:p w14:paraId="488406D5">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第四章 英国脱欧传奇：政治话语中的立场、控制和认同（胡安娜·马林·阿雷塞）</w:t>
      </w:r>
    </w:p>
    <w:p w14:paraId="74E6DA4D">
      <w:pPr>
        <w:widowControl w:val="0"/>
        <w:numPr>
          <w:ilvl w:val="0"/>
          <w:numId w:val="0"/>
        </w:numPr>
        <w:jc w:val="both"/>
        <w:rPr>
          <w:rFonts w:hint="eastAsia"/>
          <w:b w:val="0"/>
          <w:bCs w:val="0"/>
          <w:color w:val="000000"/>
          <w:szCs w:val="21"/>
          <w:lang w:val="en-US" w:eastAsia="zh-CN"/>
        </w:rPr>
      </w:pPr>
    </w:p>
    <w:p w14:paraId="5387D655">
      <w:pPr>
        <w:widowControl w:val="0"/>
        <w:numPr>
          <w:ilvl w:val="0"/>
          <w:numId w:val="0"/>
        </w:numPr>
        <w:jc w:val="both"/>
        <w:rPr>
          <w:rFonts w:hint="eastAsia"/>
          <w:b/>
          <w:bCs/>
          <w:color w:val="000000"/>
          <w:szCs w:val="21"/>
          <w:lang w:val="en-US" w:eastAsia="zh-CN"/>
        </w:rPr>
      </w:pPr>
      <w:r>
        <w:rPr>
          <w:rFonts w:hint="eastAsia"/>
          <w:b/>
          <w:bCs/>
          <w:color w:val="000000"/>
          <w:szCs w:val="21"/>
          <w:lang w:val="en-US" w:eastAsia="zh-CN"/>
        </w:rPr>
        <w:t>第二部分 合法化与新媒体</w:t>
      </w:r>
    </w:p>
    <w:p w14:paraId="1E73BCFC">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第五章 政治话语与新媒体：传播的新架构（玛丽亚·钱科娃）</w:t>
      </w:r>
    </w:p>
    <w:p w14:paraId="43F4819E">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第六章 特朗普反拜登政治竞选广告中的意义生成：多模态视角（特缇安娜·克里莎诺娃）</w:t>
      </w:r>
    </w:p>
    <w:p w14:paraId="3F471E83">
      <w:pPr>
        <w:widowControl w:val="0"/>
        <w:numPr>
          <w:ilvl w:val="0"/>
          <w:numId w:val="0"/>
        </w:numPr>
        <w:jc w:val="both"/>
        <w:rPr>
          <w:rFonts w:hint="eastAsia"/>
          <w:b w:val="0"/>
          <w:bCs w:val="0"/>
          <w:color w:val="000000"/>
          <w:szCs w:val="21"/>
          <w:lang w:val="en-US" w:eastAsia="zh-CN"/>
        </w:rPr>
      </w:pPr>
    </w:p>
    <w:p w14:paraId="0F0FBD90">
      <w:pPr>
        <w:widowControl w:val="0"/>
        <w:numPr>
          <w:ilvl w:val="0"/>
          <w:numId w:val="0"/>
        </w:numPr>
        <w:jc w:val="both"/>
        <w:rPr>
          <w:rFonts w:hint="eastAsia"/>
          <w:b/>
          <w:bCs/>
          <w:color w:val="000000"/>
          <w:szCs w:val="21"/>
          <w:lang w:val="en-US" w:eastAsia="zh-CN"/>
        </w:rPr>
      </w:pPr>
      <w:r>
        <w:rPr>
          <w:rFonts w:hint="eastAsia"/>
          <w:b/>
          <w:bCs/>
          <w:color w:val="000000"/>
          <w:szCs w:val="21"/>
          <w:lang w:val="en-US" w:eastAsia="zh-CN"/>
        </w:rPr>
        <w:t>第三部分 合法化策略与概念化</w:t>
      </w:r>
    </w:p>
    <w:p w14:paraId="6E592D9C">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第七章 对非洲冲突政治话语中形象语言的批判性分析（伊萨·康泰）</w:t>
      </w:r>
    </w:p>
    <w:p w14:paraId="5ACA20C4">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第八章 作为社会实践的 CARD 隐喻“打X牌”及其实用功能（友重雄树）</w:t>
      </w:r>
    </w:p>
    <w:p w14:paraId="091063BB">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第九章 环境辩论中的隐喻和政治论点：房子仍在燃烧（安娜·奥热）</w:t>
      </w:r>
    </w:p>
    <w:p w14:paraId="72BB03E5">
      <w:pPr>
        <w:widowControl w:val="0"/>
        <w:numPr>
          <w:ilvl w:val="0"/>
          <w:numId w:val="0"/>
        </w:numPr>
        <w:ind w:leftChars="100"/>
        <w:jc w:val="left"/>
        <w:rPr>
          <w:rFonts w:hint="eastAsia"/>
          <w:b w:val="0"/>
          <w:bCs w:val="0"/>
          <w:color w:val="000000"/>
          <w:szCs w:val="21"/>
          <w:lang w:val="en-US" w:eastAsia="zh-CN"/>
        </w:rPr>
      </w:pPr>
      <w:r>
        <w:rPr>
          <w:rFonts w:hint="eastAsia"/>
          <w:b w:val="0"/>
          <w:bCs w:val="0"/>
          <w:color w:val="000000"/>
          <w:szCs w:val="21"/>
          <w:lang w:val="en-US" w:eastAsia="zh-CN"/>
        </w:rPr>
        <w:t>结束语：当代危机中的合法化研究（罗伯特·巴特勒、安娜·奥热）</w:t>
      </w:r>
    </w:p>
    <w:p w14:paraId="61C85D92">
      <w:pPr>
        <w:widowControl w:val="0"/>
        <w:numPr>
          <w:ilvl w:val="0"/>
          <w:numId w:val="0"/>
        </w:numPr>
        <w:jc w:val="both"/>
        <w:rPr>
          <w:rFonts w:hint="eastAsia"/>
          <w:b w:val="0"/>
          <w:bCs w:val="0"/>
          <w:color w:val="000000"/>
          <w:szCs w:val="21"/>
          <w:lang w:val="en-US" w:eastAsia="zh-CN"/>
        </w:rPr>
      </w:pPr>
    </w:p>
    <w:p w14:paraId="3E4586FE">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索引</w:t>
      </w:r>
    </w:p>
    <w:p w14:paraId="7A88E490">
      <w:pPr>
        <w:widowControl w:val="0"/>
        <w:numPr>
          <w:ilvl w:val="0"/>
          <w:numId w:val="0"/>
        </w:numPr>
        <w:jc w:val="both"/>
        <w:rPr>
          <w:rFonts w:hint="default"/>
          <w:b w:val="0"/>
          <w:bCs w:val="0"/>
          <w:color w:val="000000"/>
          <w:szCs w:val="21"/>
          <w:lang w:val="en-US" w:eastAsia="zh-CN"/>
        </w:rPr>
      </w:pPr>
    </w:p>
    <w:p w14:paraId="24124ACD">
      <w:pPr>
        <w:widowControl w:val="0"/>
        <w:numPr>
          <w:ilvl w:val="0"/>
          <w:numId w:val="0"/>
        </w:numPr>
        <w:jc w:val="both"/>
        <w:rPr>
          <w:rFonts w:hint="default"/>
          <w:b w:val="0"/>
          <w:bCs w:val="0"/>
          <w:color w:val="000000"/>
          <w:szCs w:val="21"/>
          <w:lang w:val="en-US" w:eastAsia="zh-CN"/>
        </w:rPr>
      </w:pPr>
    </w:p>
    <w:p w14:paraId="3D146CCE">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132591C4">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6E85A6B">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703342B0">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221B12D6">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5F29466C">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73FDDABF">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2D1FF5A6">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6054E152">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1D59AA54">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6EC55E21">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5E34B57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0D0DFF8F">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7B8ACE9D">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5874C871">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A8CD4">
    <w:pPr>
      <w:pBdr>
        <w:bottom w:val="single" w:color="auto" w:sz="6" w:space="1"/>
      </w:pBdr>
      <w:jc w:val="center"/>
      <w:rPr>
        <w:rFonts w:hint="eastAsia" w:ascii="方正姚体" w:eastAsia="方正姚体"/>
        <w:sz w:val="18"/>
      </w:rPr>
    </w:pPr>
  </w:p>
  <w:p w14:paraId="01FD3F67">
    <w:pPr>
      <w:jc w:val="center"/>
      <w:rPr>
        <w:rFonts w:hint="eastAsia" w:ascii="方正姚体" w:eastAsia="方正姚体"/>
        <w:sz w:val="18"/>
      </w:rPr>
    </w:pPr>
  </w:p>
  <w:p w14:paraId="0CE2F30F">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7988FD2">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68E21E4F">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566A27D1">
    <w:pPr>
      <w:pStyle w:val="4"/>
      <w:jc w:val="center"/>
      <w:rPr>
        <w:rFonts w:hint="eastAsia" w:eastAsia="方正姚体"/>
      </w:rPr>
    </w:pPr>
  </w:p>
  <w:p w14:paraId="3FBF7ABF">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F15AD">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48472065">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D8D38C3"/>
    <w:multiLevelType w:val="singleLevel"/>
    <w:tmpl w:val="6D8D38C3"/>
    <w:lvl w:ilvl="0" w:tentative="0">
      <w:start w:val="1"/>
      <w:numFmt w:val="bullet"/>
      <w:lvlText w:val=""/>
      <w:lvlJc w:val="left"/>
      <w:pPr>
        <w:tabs>
          <w:tab w:val="left" w:pos="420"/>
        </w:tabs>
        <w:ind w:left="84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0C2437"/>
    <w:rsid w:val="03442E9F"/>
    <w:rsid w:val="06730C76"/>
    <w:rsid w:val="073C7668"/>
    <w:rsid w:val="0D4922F4"/>
    <w:rsid w:val="12567C30"/>
    <w:rsid w:val="15E0485B"/>
    <w:rsid w:val="160F623F"/>
    <w:rsid w:val="1645367F"/>
    <w:rsid w:val="18163075"/>
    <w:rsid w:val="1B0A0B6B"/>
    <w:rsid w:val="1B5A02D8"/>
    <w:rsid w:val="1C5E2071"/>
    <w:rsid w:val="1F630304"/>
    <w:rsid w:val="205000A4"/>
    <w:rsid w:val="21AE6859"/>
    <w:rsid w:val="22AB596C"/>
    <w:rsid w:val="27D50298"/>
    <w:rsid w:val="2AEF21B8"/>
    <w:rsid w:val="2E386FBC"/>
    <w:rsid w:val="2E6B7CCE"/>
    <w:rsid w:val="2EBD695D"/>
    <w:rsid w:val="36313718"/>
    <w:rsid w:val="36E47851"/>
    <w:rsid w:val="390D5674"/>
    <w:rsid w:val="401410AB"/>
    <w:rsid w:val="417A5619"/>
    <w:rsid w:val="41C84631"/>
    <w:rsid w:val="42EB6719"/>
    <w:rsid w:val="45A8273D"/>
    <w:rsid w:val="464657A8"/>
    <w:rsid w:val="486F4989"/>
    <w:rsid w:val="4A267C16"/>
    <w:rsid w:val="51AF41D9"/>
    <w:rsid w:val="53967E15"/>
    <w:rsid w:val="56D04DCC"/>
    <w:rsid w:val="57192EB7"/>
    <w:rsid w:val="5A7E4E63"/>
    <w:rsid w:val="5AF520EA"/>
    <w:rsid w:val="5DB6603E"/>
    <w:rsid w:val="5FDA4C96"/>
    <w:rsid w:val="600277DE"/>
    <w:rsid w:val="63CB5492"/>
    <w:rsid w:val="63F728EC"/>
    <w:rsid w:val="65AA22E7"/>
    <w:rsid w:val="6613405D"/>
    <w:rsid w:val="67957627"/>
    <w:rsid w:val="67BB2CC1"/>
    <w:rsid w:val="698941D6"/>
    <w:rsid w:val="6FA6085D"/>
    <w:rsid w:val="6FDB7F97"/>
    <w:rsid w:val="72BE3B64"/>
    <w:rsid w:val="72DA2F16"/>
    <w:rsid w:val="738F1FC7"/>
    <w:rsid w:val="74DF7AF1"/>
    <w:rsid w:val="75DA740B"/>
    <w:rsid w:val="785C6358"/>
    <w:rsid w:val="789D31AE"/>
    <w:rsid w:val="7933228D"/>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1011</Words>
  <Characters>1400</Characters>
  <Lines>25</Lines>
  <Paragraphs>7</Paragraphs>
  <TotalTime>3</TotalTime>
  <ScaleCrop>false</ScaleCrop>
  <LinksUpToDate>false</LinksUpToDate>
  <CharactersWithSpaces>1451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2024-07-24T01:52:37Z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3DA63C7BFC1A4F419ECF62071D80FA4D_13</vt:lpwstr>
  </property>
</Properties>
</file>