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18415</wp:posOffset>
            </wp:positionV>
            <wp:extent cx="1080135" cy="1548130"/>
            <wp:effectExtent l="0" t="0" r="0" b="127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76" cy="15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>
        <w:rPr>
          <w:rFonts w:hint="eastAsia"/>
          <w:b/>
          <w:color w:val="000000"/>
          <w:szCs w:val="21"/>
        </w:rPr>
        <w:t>《谈话疗法</w:t>
      </w:r>
      <w:r>
        <w:rPr>
          <w:rFonts w:hint="eastAsia"/>
          <w:b/>
          <w:color w:val="000000"/>
          <w:szCs w:val="21"/>
          <w:lang w:eastAsia="zh-CN"/>
        </w:rPr>
        <w:t>：治疗师</w:t>
      </w:r>
      <w:r>
        <w:rPr>
          <w:rFonts w:hint="eastAsia"/>
          <w:b/>
          <w:color w:val="000000"/>
          <w:szCs w:val="21"/>
          <w:lang w:val="en-US" w:eastAsia="zh-CN"/>
        </w:rPr>
        <w:t>的</w:t>
      </w:r>
      <w:r>
        <w:rPr>
          <w:rFonts w:hint="eastAsia"/>
          <w:b/>
          <w:color w:val="000000"/>
          <w:szCs w:val="21"/>
          <w:lang w:eastAsia="zh-CN"/>
        </w:rPr>
        <w:t>语言如何</w:t>
      </w:r>
      <w:r>
        <w:rPr>
          <w:rFonts w:hint="eastAsia"/>
          <w:b/>
          <w:color w:val="000000"/>
          <w:szCs w:val="21"/>
          <w:lang w:val="en-US" w:eastAsia="zh-CN"/>
        </w:rPr>
        <w:t>影响</w:t>
      </w:r>
      <w:r>
        <w:rPr>
          <w:rFonts w:hint="eastAsia"/>
          <w:b/>
          <w:color w:val="000000"/>
          <w:szCs w:val="21"/>
          <w:lang w:eastAsia="zh-CN"/>
        </w:rPr>
        <w:t>世界，以及如何更谨慎使用</w:t>
      </w:r>
      <w:r>
        <w:rPr>
          <w:rFonts w:hint="eastAsia"/>
          <w:b/>
          <w:color w:val="000000"/>
          <w:szCs w:val="21"/>
          <w:lang w:val="en-US" w:eastAsia="zh-CN"/>
        </w:rPr>
        <w:t>语言</w:t>
      </w:r>
      <w:r>
        <w:rPr>
          <w:rFonts w:hint="eastAsia"/>
          <w:b/>
          <w:color w:val="000000"/>
          <w:szCs w:val="21"/>
        </w:rPr>
        <w:t>》</w:t>
      </w:r>
      <w:bookmarkEnd w:id="0"/>
      <w:bookmarkEnd w:id="1"/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bookmarkStart w:id="2" w:name="OLE_LINK25"/>
      <w:bookmarkStart w:id="3" w:name="OLE_LINK24"/>
      <w:bookmarkStart w:id="4" w:name="OLE_LINK2"/>
      <w:bookmarkStart w:id="5" w:name="OLE_LINK1"/>
      <w:r>
        <w:rPr>
          <w:b/>
          <w:color w:val="000000"/>
          <w:szCs w:val="21"/>
        </w:rPr>
        <w:t>THERAPY TALK</w:t>
      </w:r>
      <w:bookmarkEnd w:id="2"/>
      <w:bookmarkEnd w:id="3"/>
      <w:r>
        <w:rPr>
          <w:rFonts w:hint="eastAsia"/>
          <w:b/>
          <w:color w:val="000000"/>
          <w:szCs w:val="21"/>
          <w:lang w:val="en-US" w:eastAsia="zh-CN"/>
        </w:rPr>
        <w:t>:How the Language of Therapists Took over the World, and How to Be More Careful with Our Words</w:t>
      </w:r>
    </w:p>
    <w:bookmarkEnd w:id="4"/>
    <w:bookmarkEnd w:id="5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6" w:name="OLE_LINK3"/>
      <w:r>
        <w:rPr>
          <w:b/>
          <w:color w:val="000000"/>
          <w:szCs w:val="21"/>
        </w:rPr>
        <w:t>Julia Bueno</w:t>
      </w:r>
    </w:p>
    <w:bookmarkEnd w:id="6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Bonnier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代理公司：Felicity Bryan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ANA/Zoey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大纲及样张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大众心理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FF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为所有希望更好地理解治疗语言的读者提供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 xml:space="preserve">一本实用而富有同情心的指南。 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“界限”“自恋者”“创伤”“精神病患者”“共同依赖”和“自我护理”等术语，</w:t>
      </w:r>
      <w:r>
        <w:rPr>
          <w:rFonts w:hint="eastAsia"/>
          <w:color w:val="000000"/>
          <w:lang w:val="en-US" w:eastAsia="zh-CN"/>
        </w:rPr>
        <w:t>不久前</w:t>
      </w:r>
      <w:r>
        <w:rPr>
          <w:rFonts w:hint="eastAsia"/>
          <w:color w:val="000000"/>
        </w:rPr>
        <w:t>还局限于分析师的沙发上，但现在已成为主流术语，且经常被误用。茱莉亚将解释这些术语的真正含义，</w:t>
      </w:r>
      <w:r>
        <w:rPr>
          <w:rFonts w:hint="eastAsia"/>
          <w:color w:val="000000"/>
          <w:lang w:val="en-US" w:eastAsia="zh-CN"/>
        </w:rPr>
        <w:t>各自</w:t>
      </w:r>
      <w:r>
        <w:rPr>
          <w:rFonts w:hint="eastAsia"/>
          <w:color w:val="000000"/>
        </w:rPr>
        <w:t>背后的心理学研究，以及更好地理解这些术语如何有助于鼓励我们对人类同胞的同理心，而不是用语言筑起高墙。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在《谈话疗法》中，</w:t>
      </w:r>
      <w:bookmarkStart w:id="7" w:name="OLE_LINK30"/>
      <w:bookmarkStart w:id="8" w:name="OLE_LINK28"/>
      <w:bookmarkStart w:id="9" w:name="OLE_LINK29"/>
      <w:r>
        <w:rPr>
          <w:rFonts w:hint="eastAsia"/>
          <w:color w:val="000000"/>
        </w:rPr>
        <w:t>茱莉亚</w:t>
      </w:r>
      <w:bookmarkEnd w:id="7"/>
      <w:bookmarkEnd w:id="8"/>
      <w:bookmarkEnd w:id="9"/>
      <w:r>
        <w:rPr>
          <w:rFonts w:hint="eastAsia"/>
          <w:color w:val="000000"/>
        </w:rPr>
        <w:t>将定义最流行的治疗术语，这意味着要反思它们的演变过程，以及可能与之相关的一些挑战和争议。她将根据这些术语的主要用途，比如在谈论彼此关系或描述他人时，反思自己的心理健康时，回想令人痛苦的过去时，或者对神经多样性感到疑惑时，对它们进行分析。她还将解读自我护理行业（包括谈话疗法）的快速发展，并提出我们现在和将来的发展方向。这意味着要解决心理疗法可能会遇到的一些难题，比如如何以及何时使用诊断术语，或者如何帮助患者理解并主张他们想要的东西，而不是他们认为自己“应该”想要的东西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茱莉亚将为不断变化的谈话疗法领域绘制一幅更清晰的地图，也将解决至少一个关于治疗用语的主要担忧：它会淡化某些疾病的诊断意义。另一方面，茱莉亚注意到客户不愿意甚至不好意思以适当的方式使用“创伤”这样的词语，因为他们担心这会加重其已观察到的过度使用的现象。我们必须考虑这些词语的适当含义，使其保持原有的价值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不过，《谈话疗法》远不止是一本厚厚的治疗术语词汇表。恰当地使用治疗室的语言，让我们有机会更深入地思考彼此间的联系。我们生活在精神疾病、孤独、断绝关系、信仰两极分化以及对未来深沉而长期的恐惧之中。现在，是时候利用我们日益增长的心理学洞察力，更深刻地思考我们是如何行动的了，而且，至关重要的是，我们如何才能对我们的朋友、伴侣和家人，以及更广泛的社区，甚至是宝贵而饱受困扰的环境，做出更富有同情心的回应。茱莉亚希望这本书能让我们对世界做出更具同情心的回应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  <w:bookmarkStart w:id="10" w:name="OLE_LINK38"/>
      <w:r>
        <w:rPr>
          <w:rFonts w:hint="eastAsia"/>
          <w:b/>
          <w:kern w:val="0"/>
          <w:szCs w:val="21"/>
          <w:lang w:val="en-US" w:eastAsia="zh-CN"/>
        </w:rPr>
        <w:t>书籍目录：</w:t>
      </w: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Chapter One: Relationships</w:t>
      </w:r>
    </w:p>
    <w:p>
      <w:pPr>
        <w:widowControl/>
        <w:shd w:val="clear" w:color="auto" w:fill="FFFFFF"/>
        <w:ind w:firstLine="211" w:firstLineChars="100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Attachment Styles, Boundaries, Enmeshment, Co-Dependencies</w:t>
      </w: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Chapter Two: Labelling Ourselves</w:t>
      </w:r>
    </w:p>
    <w:p>
      <w:pPr>
        <w:widowControl/>
        <w:shd w:val="clear" w:color="auto" w:fill="FFFFFF"/>
        <w:ind w:firstLine="211" w:firstLineChars="100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Narcissists, Psychopaths, Sociopaths, Empaths, Personality Disorders</w:t>
      </w: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Chapter Three: Mental ill health</w:t>
      </w:r>
    </w:p>
    <w:p>
      <w:pPr>
        <w:widowControl/>
        <w:shd w:val="clear" w:color="auto" w:fill="FFFFFF"/>
        <w:ind w:firstLine="211" w:firstLineChars="100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Anxiety, Depression, Obsessive Compulsive Disorder, Delusional States</w:t>
      </w: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Chapter Four: The Past</w:t>
      </w:r>
    </w:p>
    <w:p>
      <w:pPr>
        <w:widowControl/>
        <w:shd w:val="clear" w:color="auto" w:fill="FFFFFF"/>
        <w:ind w:firstLine="211" w:firstLineChars="100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Triggers, Trauma, Projections, Grief</w:t>
      </w: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Chapter Five: Neuro-Diversity</w:t>
      </w:r>
    </w:p>
    <w:p>
      <w:pPr>
        <w:widowControl/>
        <w:shd w:val="clear" w:color="auto" w:fill="FFFFFF"/>
        <w:ind w:firstLine="211" w:firstLineChars="100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Attention Deficit Hyperactivity Disorder, Attention Deficit Disorder and Autism</w:t>
      </w: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Chapter Six: Self-Care</w:t>
      </w:r>
    </w:p>
    <w:p>
      <w:pPr>
        <w:widowControl/>
        <w:shd w:val="clear" w:color="auto" w:fill="FFFFFF"/>
        <w:ind w:firstLine="211" w:firstLineChars="100"/>
        <w:outlineLvl w:val="1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Care, Therapies, Self</w:t>
      </w: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rFonts w:hint="eastAsia"/>
          <w:b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outlineLvl w:val="1"/>
        <w:rPr>
          <w:color w:val="000000"/>
          <w:kern w:val="36"/>
          <w:szCs w:val="21"/>
        </w:rPr>
      </w:pPr>
      <w:r>
        <w:rPr>
          <w:b/>
          <w:kern w:val="0"/>
          <w:szCs w:val="21"/>
        </w:rPr>
        <w:t>作者简介：</w:t>
      </w:r>
      <w:bookmarkStart w:id="11" w:name="productDetails"/>
      <w:bookmarkEnd w:id="11"/>
      <w:r>
        <w:rPr>
          <w:color w:val="000000"/>
          <w:kern w:val="36"/>
          <w:szCs w:val="21"/>
        </w:rPr>
        <w:t> </w:t>
      </w:r>
    </w:p>
    <w:p>
      <w:pPr>
        <w:widowControl/>
        <w:shd w:val="clear" w:color="auto" w:fill="FFFFFF"/>
        <w:outlineLvl w:val="1"/>
        <w:rPr>
          <w:color w:val="000000"/>
          <w:kern w:val="36"/>
          <w:szCs w:val="21"/>
        </w:rPr>
      </w:pPr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5593080</wp:posOffset>
            </wp:positionV>
            <wp:extent cx="1245870" cy="981075"/>
            <wp:effectExtent l="0" t="0" r="11430" b="9525"/>
            <wp:wrapSquare wrapText="bothSides"/>
            <wp:docPr id="2" name="图片 2" descr="https://felicitybryan.com/wp-content/uploads/2018/01/Julia-Bueno-wpcf_27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felicitybryan.com/wp-content/uploads/2018/01/Julia-Bueno-wpcf_270x213.jp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kern w:val="36"/>
          <w:szCs w:val="21"/>
        </w:rPr>
        <w:t>茱莉亚·布埃诺（</w:t>
      </w:r>
      <w:r>
        <w:rPr>
          <w:b/>
          <w:color w:val="000000"/>
          <w:kern w:val="36"/>
          <w:szCs w:val="21"/>
        </w:rPr>
        <w:t>Julia Bueno</w:t>
      </w:r>
      <w:r>
        <w:rPr>
          <w:rFonts w:hint="eastAsia"/>
          <w:b/>
          <w:color w:val="000000"/>
          <w:kern w:val="36"/>
          <w:szCs w:val="21"/>
        </w:rPr>
        <w:t>）：</w:t>
      </w:r>
      <w:r>
        <w:rPr>
          <w:rFonts w:hint="eastAsia"/>
          <w:color w:val="000000"/>
          <w:kern w:val="36"/>
          <w:szCs w:val="21"/>
        </w:rPr>
        <w:t>在牛津大学学习法律，在短暂的法律生涯和互联网创业公司写作经历后，她接受了心理治疗师的培训，已在伦敦从事心理治疗工作二十年。她还负责监督心理治疗师，担任她所在专业组织的投诉与行为委员会成员，并对高级产科医生的沟通技能进行考核。</w:t>
      </w:r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  <w:bookmarkStart w:id="12" w:name="_GoBack"/>
      <w:bookmarkEnd w:id="12"/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  <w:r>
        <w:rPr>
          <w:rFonts w:hint="eastAsia"/>
          <w:color w:val="000000"/>
          <w:kern w:val="36"/>
          <w:szCs w:val="21"/>
        </w:rPr>
        <w:t>她的第一本书《生命的边缘：谈论流产》（THE BRINK OF BEING: TALKING ABOUT MISCARRIAGE）源于她多年支持女性和夫妇经历</w:t>
      </w:r>
      <w:r>
        <w:rPr>
          <w:rFonts w:hint="eastAsia"/>
          <w:color w:val="000000"/>
          <w:kern w:val="36"/>
          <w:szCs w:val="21"/>
          <w:lang w:val="en-US" w:eastAsia="zh-CN"/>
        </w:rPr>
        <w:t>流产</w:t>
      </w:r>
      <w:r>
        <w:rPr>
          <w:rFonts w:hint="eastAsia"/>
          <w:color w:val="000000"/>
          <w:kern w:val="36"/>
          <w:szCs w:val="21"/>
        </w:rPr>
        <w:t>的工作，以及她作为流产协会（一个倡导改善丧失者医疗和心理护理的慈善机构）受托人的经验。该书兼具同情心和实用性，将临床与个人经验与历史和社会科学研究相结合</w:t>
      </w:r>
      <w:r>
        <w:rPr>
          <w:rFonts w:hint="eastAsia"/>
          <w:color w:val="000000"/>
          <w:kern w:val="36"/>
          <w:szCs w:val="21"/>
          <w:lang w:eastAsia="zh-CN"/>
        </w:rPr>
        <w:t>，</w:t>
      </w:r>
      <w:r>
        <w:rPr>
          <w:rFonts w:hint="eastAsia"/>
          <w:color w:val="000000"/>
          <w:kern w:val="36"/>
          <w:szCs w:val="21"/>
        </w:rPr>
        <w:t>赢得了2021年英国医学协会流行医学图书奖，并成为2021年英国心理学会图书奖的亚军。这本书被推荐为澳大利亚、南非和英国心理学学生的教材，并</w:t>
      </w:r>
      <w:r>
        <w:rPr>
          <w:rFonts w:hint="eastAsia"/>
          <w:color w:val="000000"/>
          <w:kern w:val="36"/>
          <w:szCs w:val="21"/>
          <w:lang w:val="en-US" w:eastAsia="zh-CN"/>
        </w:rPr>
        <w:t>已</w:t>
      </w:r>
      <w:r>
        <w:rPr>
          <w:rFonts w:hint="eastAsia"/>
          <w:color w:val="000000"/>
          <w:kern w:val="36"/>
          <w:szCs w:val="21"/>
        </w:rPr>
        <w:t>在美国</w:t>
      </w:r>
      <w:r>
        <w:rPr>
          <w:rFonts w:hint="eastAsia"/>
          <w:color w:val="000000"/>
          <w:kern w:val="36"/>
          <w:szCs w:val="21"/>
          <w:lang w:eastAsia="zh-CN"/>
        </w:rPr>
        <w:t>、</w:t>
      </w:r>
      <w:r>
        <w:rPr>
          <w:rFonts w:hint="eastAsia"/>
          <w:color w:val="000000"/>
          <w:kern w:val="36"/>
          <w:szCs w:val="21"/>
          <w:lang w:val="en-US" w:eastAsia="zh-CN"/>
        </w:rPr>
        <w:t>中国</w:t>
      </w:r>
      <w:r>
        <w:rPr>
          <w:rFonts w:hint="eastAsia"/>
          <w:color w:val="000000"/>
          <w:kern w:val="36"/>
          <w:szCs w:val="21"/>
        </w:rPr>
        <w:t>台湾和波兰出版。</w:t>
      </w:r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  <w:r>
        <w:rPr>
          <w:rFonts w:hint="eastAsia"/>
          <w:color w:val="000000"/>
          <w:kern w:val="36"/>
          <w:szCs w:val="21"/>
        </w:rPr>
        <w:t>第二本书《每个人都是批评家</w:t>
      </w:r>
      <w:r>
        <w:rPr>
          <w:rFonts w:hint="eastAsia"/>
          <w:color w:val="000000"/>
          <w:kern w:val="36"/>
          <w:szCs w:val="21"/>
          <w:lang w:eastAsia="zh-CN"/>
        </w:rPr>
        <w:t>：</w:t>
      </w:r>
      <w:r>
        <w:rPr>
          <w:rFonts w:hint="eastAsia"/>
          <w:color w:val="000000"/>
          <w:kern w:val="36"/>
          <w:szCs w:val="21"/>
        </w:rPr>
        <w:t>如何学会对自己更友善》（</w:t>
      </w:r>
      <w:r>
        <w:rPr>
          <w:rFonts w:hint="eastAsia"/>
          <w:i/>
          <w:iCs/>
          <w:color w:val="000000"/>
          <w:kern w:val="36"/>
          <w:szCs w:val="21"/>
        </w:rPr>
        <w:t>Everyone's a Critic</w:t>
      </w:r>
      <w:r>
        <w:rPr>
          <w:rFonts w:hint="eastAsia"/>
          <w:color w:val="000000"/>
          <w:kern w:val="36"/>
          <w:szCs w:val="21"/>
        </w:rPr>
        <w:t>）通过匿名案例研究探讨了她在咨询室中处理自我批评的经验，并帮助读者识别并善待自己内心的批评者。该书被《卫报》称为“权威且令人安心”，被《泰晤士文学补充》评价为“引人入胜、敏感且富有洞察力”。译本已在罗马尼亚和波兰出版，版权已</w:t>
      </w:r>
      <w:r>
        <w:rPr>
          <w:rFonts w:hint="eastAsia"/>
          <w:color w:val="000000"/>
          <w:kern w:val="36"/>
          <w:szCs w:val="21"/>
          <w:lang w:val="en-US" w:eastAsia="zh-CN"/>
        </w:rPr>
        <w:t>授</w:t>
      </w:r>
      <w:r>
        <w:rPr>
          <w:rFonts w:hint="eastAsia"/>
          <w:color w:val="000000"/>
          <w:kern w:val="36"/>
          <w:szCs w:val="21"/>
        </w:rPr>
        <w:t>墨西哥、中国和中东的出版商购买。</w:t>
      </w:r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  <w:r>
        <w:rPr>
          <w:rFonts w:hint="eastAsia"/>
          <w:color w:val="000000"/>
          <w:kern w:val="36"/>
          <w:szCs w:val="21"/>
        </w:rPr>
        <w:t>Julia经常受记者邀请，为与治疗相关的专题文章（如《卫报》、《泰晤士报》、《电讯报》和《红》杂志）及播客提供贡献。她的文章曾发表在《泰晤士报》、《星期日泰晤士报》、《纽约时报》和《心理学今日》。她还定期为《泰晤士文学补充》撰写回忆录和心理学相关书籍的评论。</w:t>
      </w:r>
    </w:p>
    <w:p>
      <w:pPr>
        <w:widowControl/>
        <w:shd w:val="clear" w:color="auto" w:fill="FFFFFF"/>
        <w:ind w:firstLine="420" w:firstLineChars="200"/>
        <w:outlineLvl w:val="1"/>
        <w:rPr>
          <w:rFonts w:hint="eastAsia"/>
          <w:color w:val="000000"/>
          <w:kern w:val="36"/>
          <w:szCs w:val="21"/>
        </w:rPr>
      </w:pP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6545F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87A19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2FA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20C2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DA5"/>
    <w:rsid w:val="005508BD"/>
    <w:rsid w:val="00553CE6"/>
    <w:rsid w:val="00554EB4"/>
    <w:rsid w:val="00556BAF"/>
    <w:rsid w:val="00557B85"/>
    <w:rsid w:val="00564CB0"/>
    <w:rsid w:val="00564FD9"/>
    <w:rsid w:val="00565220"/>
    <w:rsid w:val="00566BB5"/>
    <w:rsid w:val="0057640B"/>
    <w:rsid w:val="00577215"/>
    <w:rsid w:val="00585E68"/>
    <w:rsid w:val="0059238A"/>
    <w:rsid w:val="00596FD3"/>
    <w:rsid w:val="005A01E1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348F6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1776"/>
    <w:rsid w:val="00691EFC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3406"/>
    <w:rsid w:val="00884FEC"/>
    <w:rsid w:val="00893013"/>
    <w:rsid w:val="00895CB6"/>
    <w:rsid w:val="008964EA"/>
    <w:rsid w:val="00897DB4"/>
    <w:rsid w:val="008A16DC"/>
    <w:rsid w:val="008A551D"/>
    <w:rsid w:val="008A6811"/>
    <w:rsid w:val="008A7AE7"/>
    <w:rsid w:val="008B3338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0651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A53D7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04B0"/>
    <w:rsid w:val="00AC0C6B"/>
    <w:rsid w:val="00AC6089"/>
    <w:rsid w:val="00AC7610"/>
    <w:rsid w:val="00AD1193"/>
    <w:rsid w:val="00AD23A3"/>
    <w:rsid w:val="00AE238F"/>
    <w:rsid w:val="00AE4A40"/>
    <w:rsid w:val="00AE7FF4"/>
    <w:rsid w:val="00AF0671"/>
    <w:rsid w:val="00B02191"/>
    <w:rsid w:val="00B04180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9705E"/>
    <w:rsid w:val="00CA1A2A"/>
    <w:rsid w:val="00CA1DDF"/>
    <w:rsid w:val="00CA4A90"/>
    <w:rsid w:val="00CB3CD0"/>
    <w:rsid w:val="00CB6027"/>
    <w:rsid w:val="00CB67DF"/>
    <w:rsid w:val="00CC1CE9"/>
    <w:rsid w:val="00CC3373"/>
    <w:rsid w:val="00CC69DA"/>
    <w:rsid w:val="00CC7B68"/>
    <w:rsid w:val="00CD3036"/>
    <w:rsid w:val="00CD409A"/>
    <w:rsid w:val="00CE1AA2"/>
    <w:rsid w:val="00CE51A6"/>
    <w:rsid w:val="00CF7860"/>
    <w:rsid w:val="00CF7D00"/>
    <w:rsid w:val="00D0031C"/>
    <w:rsid w:val="00D068E5"/>
    <w:rsid w:val="00D17732"/>
    <w:rsid w:val="00D24A70"/>
    <w:rsid w:val="00D24E00"/>
    <w:rsid w:val="00D259BB"/>
    <w:rsid w:val="00D26965"/>
    <w:rsid w:val="00D31554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5CD9"/>
    <w:rsid w:val="00D86932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003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9F558AC"/>
    <w:rsid w:val="0AA822B2"/>
    <w:rsid w:val="0B2F234E"/>
    <w:rsid w:val="0C1B0437"/>
    <w:rsid w:val="0E415713"/>
    <w:rsid w:val="123B45F5"/>
    <w:rsid w:val="1264528F"/>
    <w:rsid w:val="12D81E34"/>
    <w:rsid w:val="14117386"/>
    <w:rsid w:val="14410444"/>
    <w:rsid w:val="14C12F5A"/>
    <w:rsid w:val="162057B7"/>
    <w:rsid w:val="16FA09A5"/>
    <w:rsid w:val="17594F22"/>
    <w:rsid w:val="18D02E20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921BCC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6531AE8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styleId="38">
    <w:name w:val="No Spacing"/>
    <w:qFormat/>
    <w:uiPriority w:val="1"/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file:///C:\Users\lenovo\AppData\Roaming\Foxmail7\Temp-5920-20220224095741\Attach\image003(02-24-10-24-24)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1038</Words>
  <Characters>1342</Characters>
  <Lines>12</Lines>
  <Paragraphs>3</Paragraphs>
  <TotalTime>0</TotalTime>
  <ScaleCrop>false</ScaleCrop>
  <LinksUpToDate>false</LinksUpToDate>
  <CharactersWithSpaces>1368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2024-07-27T15:09:00Z</dcterms:created>
  <dc:creator>Image</dc:creator>
  <cp:lastModifiedBy>堀  达</cp:lastModifiedBy>
  <cp:lastPrinted>2005-06-10T06:33:00Z</cp:lastPrinted>
  <dcterms:modified xsi:type="dcterms:W3CDTF">2024-07-29T04:36:13Z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F62692458E1A4482979E588F2554B8DB_13</vt:lpwstr>
  </property>
</Properties>
</file>