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6E003A73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13861A9" w:rsidR="00AE574A" w:rsidRDefault="00AE574A">
      <w:pPr>
        <w:rPr>
          <w:b/>
          <w:color w:val="000000"/>
          <w:szCs w:val="21"/>
        </w:rPr>
      </w:pPr>
    </w:p>
    <w:p w14:paraId="3DA7336F" w14:textId="7937A339" w:rsidR="00774233" w:rsidRPr="00774233" w:rsidRDefault="00B3397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4B75D882" wp14:editId="4189EABB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95400" cy="1943100"/>
            <wp:effectExtent l="0" t="0" r="0" b="0"/>
            <wp:wrapSquare wrapText="bothSides"/>
            <wp:docPr id="590782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政治享乐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4AEC25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92A90" w:rsidRPr="00192A90">
        <w:rPr>
          <w:b/>
          <w:bCs/>
          <w:color w:val="000000"/>
          <w:szCs w:val="21"/>
        </w:rPr>
        <w:t>POLITICAL JOUISSANCE</w:t>
      </w:r>
    </w:p>
    <w:p w14:paraId="39B7E419" w14:textId="61CACF7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3397B" w:rsidRPr="00B3397B">
        <w:rPr>
          <w:b/>
          <w:bCs/>
          <w:color w:val="000000"/>
          <w:szCs w:val="21"/>
        </w:rPr>
        <w:t>Slavoj Žižek, Nicol A. Barria-Asenjo</w:t>
      </w:r>
      <w:hyperlink r:id="rId9" w:history="1"/>
    </w:p>
    <w:p w14:paraId="5EB65684" w14:textId="7A6757E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3397B" w:rsidRPr="00B3397B">
        <w:rPr>
          <w:b/>
          <w:bCs/>
          <w:color w:val="000000"/>
          <w:szCs w:val="21"/>
        </w:rPr>
        <w:t>Bloomsbury Academic</w:t>
      </w:r>
    </w:p>
    <w:p w14:paraId="1421F21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2DDEAF4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3397B" w:rsidRPr="00B3397B">
        <w:rPr>
          <w:rFonts w:hint="eastAsia"/>
          <w:b/>
          <w:bCs/>
          <w:color w:val="000000"/>
          <w:szCs w:val="21"/>
        </w:rPr>
        <w:t>272</w:t>
      </w:r>
      <w:r w:rsidR="00B3397B" w:rsidRPr="00B3397B">
        <w:rPr>
          <w:rFonts w:hint="eastAsia"/>
          <w:b/>
          <w:bCs/>
          <w:color w:val="000000"/>
          <w:szCs w:val="21"/>
        </w:rPr>
        <w:t>页</w:t>
      </w:r>
    </w:p>
    <w:p w14:paraId="31380F95" w14:textId="37FD37E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B3397B" w:rsidRPr="00B3397B">
        <w:rPr>
          <w:rFonts w:hint="eastAsia"/>
          <w:b/>
          <w:bCs/>
          <w:color w:val="000000"/>
          <w:szCs w:val="21"/>
        </w:rPr>
        <w:t>2024</w:t>
      </w:r>
      <w:r w:rsidR="00B3397B" w:rsidRPr="00B3397B">
        <w:rPr>
          <w:rFonts w:hint="eastAsia"/>
          <w:b/>
          <w:bCs/>
          <w:color w:val="000000"/>
          <w:szCs w:val="21"/>
        </w:rPr>
        <w:t>年</w:t>
      </w:r>
      <w:r w:rsidR="00B3397B" w:rsidRPr="00B3397B">
        <w:rPr>
          <w:rFonts w:hint="eastAsia"/>
          <w:b/>
          <w:bCs/>
          <w:color w:val="000000"/>
          <w:szCs w:val="21"/>
        </w:rPr>
        <w:t>9</w:t>
      </w:r>
      <w:r w:rsidR="00B3397B" w:rsidRPr="00B3397B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C7A146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3397B">
        <w:rPr>
          <w:rFonts w:hint="eastAsia"/>
          <w:b/>
          <w:bCs/>
          <w:szCs w:val="21"/>
        </w:rPr>
        <w:t>大众哲学</w:t>
      </w:r>
    </w:p>
    <w:p w14:paraId="7DF71B1E" w14:textId="27D04198" w:rsidR="00B3397B" w:rsidRPr="00B3397B" w:rsidRDefault="00B3397B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3397B">
        <w:rPr>
          <w:rFonts w:hint="eastAsia"/>
          <w:b/>
          <w:bCs/>
          <w:color w:val="FF0000"/>
          <w:szCs w:val="21"/>
        </w:rPr>
        <w:t>亚马逊畅销书排名：</w:t>
      </w:r>
    </w:p>
    <w:p w14:paraId="36BE4D60" w14:textId="77777777" w:rsidR="00B3397B" w:rsidRPr="00B3397B" w:rsidRDefault="00B3397B" w:rsidP="00B3397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3397B">
        <w:rPr>
          <w:b/>
          <w:bCs/>
          <w:color w:val="FF0000"/>
          <w:szCs w:val="21"/>
        </w:rPr>
        <w:t>#30 in Philosophy (Books)</w:t>
      </w:r>
    </w:p>
    <w:p w14:paraId="3DAB2814" w14:textId="77777777" w:rsidR="00B3397B" w:rsidRPr="00B3397B" w:rsidRDefault="00B3397B" w:rsidP="00B3397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3397B">
        <w:rPr>
          <w:b/>
          <w:bCs/>
          <w:color w:val="FF0000"/>
          <w:szCs w:val="21"/>
        </w:rPr>
        <w:t>#78 in Social Philosophy</w:t>
      </w:r>
    </w:p>
    <w:p w14:paraId="3F7858E0" w14:textId="6A2D56B0" w:rsidR="00B3397B" w:rsidRPr="00B3397B" w:rsidRDefault="00B3397B" w:rsidP="00B3397B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B3397B">
        <w:rPr>
          <w:b/>
          <w:bCs/>
          <w:color w:val="FF0000"/>
          <w:szCs w:val="21"/>
        </w:rPr>
        <w:t>#207 in Political Philosophy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24E8D7C" w14:textId="40FA4871" w:rsidR="00B3397B" w:rsidRPr="00B3397B" w:rsidRDefault="00B3397B" w:rsidP="00B3397B">
      <w:pPr>
        <w:ind w:firstLineChars="200" w:firstLine="422"/>
        <w:rPr>
          <w:b/>
          <w:color w:val="000000"/>
          <w:szCs w:val="21"/>
        </w:rPr>
      </w:pPr>
      <w:r w:rsidRPr="00B3397B">
        <w:rPr>
          <w:rFonts w:hint="eastAsia"/>
          <w:b/>
          <w:color w:val="000000"/>
          <w:szCs w:val="21"/>
        </w:rPr>
        <w:t>通过全球实例和精神分析概念，</w:t>
      </w:r>
      <w:r w:rsidRPr="00B3397B">
        <w:rPr>
          <w:rFonts w:hint="eastAsia"/>
          <w:b/>
          <w:color w:val="000000"/>
          <w:szCs w:val="21"/>
        </w:rPr>
        <w:t xml:space="preserve"> </w:t>
      </w:r>
      <w:r w:rsidRPr="00B3397B">
        <w:rPr>
          <w:rFonts w:hint="eastAsia"/>
          <w:b/>
          <w:color w:val="000000"/>
          <w:szCs w:val="21"/>
        </w:rPr>
        <w:t>展示了在反对和抵抗中获得快乐是政治生活的核心。</w:t>
      </w:r>
    </w:p>
    <w:p w14:paraId="2C18F629" w14:textId="77777777" w:rsidR="00B3397B" w:rsidRDefault="00B3397B" w:rsidP="00B3397B">
      <w:pPr>
        <w:ind w:firstLineChars="200" w:firstLine="420"/>
        <w:rPr>
          <w:bCs/>
          <w:color w:val="000000"/>
          <w:szCs w:val="21"/>
        </w:rPr>
      </w:pPr>
    </w:p>
    <w:p w14:paraId="272CA84B" w14:textId="620186AA" w:rsidR="00B3397B" w:rsidRPr="00B3397B" w:rsidRDefault="00B3397B" w:rsidP="00B3397B">
      <w:pPr>
        <w:ind w:firstLineChars="200" w:firstLine="420"/>
        <w:rPr>
          <w:rFonts w:hint="eastAsia"/>
          <w:bCs/>
          <w:color w:val="000000"/>
          <w:szCs w:val="21"/>
        </w:rPr>
      </w:pPr>
      <w:r w:rsidRPr="00B3397B">
        <w:rPr>
          <w:rFonts w:hint="eastAsia"/>
          <w:bCs/>
          <w:color w:val="000000"/>
          <w:szCs w:val="21"/>
        </w:rPr>
        <w:t>当我们反对或不同意某些重要的事情时，我们经过冷静考虑吗？在拯救世界或者谴责政治对手时，我们难道</w:t>
      </w:r>
      <w:proofErr w:type="gramStart"/>
      <w:r w:rsidRPr="00B3397B">
        <w:rPr>
          <w:rFonts w:hint="eastAsia"/>
          <w:bCs/>
          <w:color w:val="000000"/>
          <w:szCs w:val="21"/>
        </w:rPr>
        <w:t>不</w:t>
      </w:r>
      <w:proofErr w:type="gramEnd"/>
      <w:r w:rsidRPr="00B3397B">
        <w:rPr>
          <w:rFonts w:hint="eastAsia"/>
          <w:bCs/>
          <w:color w:val="000000"/>
          <w:szCs w:val="21"/>
        </w:rPr>
        <w:t>总是心怀一丝享受或者一点点热情？本书以挑战性的笔触，探讨了政治</w:t>
      </w:r>
      <w:r>
        <w:rPr>
          <w:rFonts w:hint="eastAsia"/>
          <w:bCs/>
          <w:color w:val="000000"/>
          <w:szCs w:val="21"/>
        </w:rPr>
        <w:t>“</w:t>
      </w:r>
      <w:r w:rsidRPr="00B3397B">
        <w:rPr>
          <w:rFonts w:hint="eastAsia"/>
          <w:bCs/>
          <w:color w:val="000000"/>
          <w:szCs w:val="21"/>
        </w:rPr>
        <w:t>享乐</w:t>
      </w:r>
      <w:r>
        <w:rPr>
          <w:rFonts w:hint="eastAsia"/>
          <w:bCs/>
          <w:color w:val="000000"/>
          <w:szCs w:val="21"/>
        </w:rPr>
        <w:t>”</w:t>
      </w:r>
      <w:r w:rsidRPr="00B3397B">
        <w:rPr>
          <w:rFonts w:hint="eastAsia"/>
          <w:bCs/>
          <w:color w:val="000000"/>
          <w:szCs w:val="21"/>
        </w:rPr>
        <w:t>的越轨式快乐运作的模式。</w:t>
      </w:r>
    </w:p>
    <w:p w14:paraId="774115A4" w14:textId="77777777" w:rsidR="00B3397B" w:rsidRPr="00B3397B" w:rsidRDefault="00B3397B" w:rsidP="00B3397B">
      <w:pPr>
        <w:ind w:firstLineChars="200" w:firstLine="420"/>
        <w:rPr>
          <w:bCs/>
          <w:color w:val="000000"/>
          <w:szCs w:val="21"/>
        </w:rPr>
      </w:pPr>
    </w:p>
    <w:p w14:paraId="4B288586" w14:textId="08A59413" w:rsidR="00961B95" w:rsidRDefault="00B3397B" w:rsidP="00B3397B">
      <w:pPr>
        <w:ind w:firstLineChars="200" w:firstLine="420"/>
        <w:rPr>
          <w:bCs/>
          <w:color w:val="000000"/>
          <w:szCs w:val="21"/>
        </w:rPr>
      </w:pPr>
      <w:r w:rsidRPr="00B3397B">
        <w:rPr>
          <w:rFonts w:hint="eastAsia"/>
          <w:bCs/>
          <w:color w:val="000000"/>
          <w:szCs w:val="21"/>
        </w:rPr>
        <w:t>对愤怒</w:t>
      </w:r>
      <w:r>
        <w:rPr>
          <w:rFonts w:hint="eastAsia"/>
          <w:bCs/>
          <w:color w:val="000000"/>
          <w:szCs w:val="21"/>
        </w:rPr>
        <w:t>和不满</w:t>
      </w:r>
      <w:r w:rsidRPr="00B3397B">
        <w:rPr>
          <w:rFonts w:hint="eastAsia"/>
          <w:bCs/>
          <w:color w:val="000000"/>
          <w:szCs w:val="21"/>
        </w:rPr>
        <w:t>的隐秘享受非但不会</w:t>
      </w:r>
      <w:r>
        <w:rPr>
          <w:rFonts w:hint="eastAsia"/>
          <w:bCs/>
          <w:color w:val="000000"/>
          <w:szCs w:val="21"/>
        </w:rPr>
        <w:t>去合法化</w:t>
      </w:r>
      <w:r w:rsidRPr="00B3397B">
        <w:rPr>
          <w:rFonts w:hint="eastAsia"/>
          <w:bCs/>
          <w:color w:val="000000"/>
          <w:szCs w:val="21"/>
        </w:rPr>
        <w:t>或去政治化，反而会促进不同形式的参与。例如，群体因共同敌人而团结的现象，</w:t>
      </w:r>
      <w:r w:rsidR="00F03227" w:rsidRPr="00F03227">
        <w:rPr>
          <w:rFonts w:hint="eastAsia"/>
          <w:bCs/>
          <w:color w:val="000000"/>
          <w:szCs w:val="21"/>
        </w:rPr>
        <w:t>为成员提供了免受谴责或迫害的保护伞，</w:t>
      </w:r>
      <w:r w:rsidRPr="00B3397B">
        <w:rPr>
          <w:rFonts w:hint="eastAsia"/>
          <w:bCs/>
          <w:color w:val="000000"/>
          <w:szCs w:val="21"/>
        </w:rPr>
        <w:t>也是减轻负罪感的一种方式。作者在反对父权制的斗争中、在社会反抗中、在机械监视的时代、在新自由主义的死亡社会中或在阴谋论的泛滥中寻找乐趣。拉康坚持认为享乐本质上具有政治性；据此我们能够理解为何可以直接将精神分析思想用于地缘政治图谱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00DD4774" w14:textId="1B2E5B03" w:rsidR="00F03227" w:rsidRDefault="00F03227" w:rsidP="00F03227">
      <w:pPr>
        <w:ind w:firstLineChars="200" w:firstLine="422"/>
        <w:rPr>
          <w:rFonts w:hint="eastAsia"/>
          <w:noProof/>
        </w:rPr>
      </w:pPr>
      <w:r w:rsidRPr="00F03227">
        <w:rPr>
          <w:rFonts w:hint="eastAsia"/>
          <w:b/>
          <w:bCs/>
          <w:noProof/>
        </w:rPr>
        <w:t>尼科尔</w:t>
      </w:r>
      <w:r w:rsidRPr="00F03227">
        <w:rPr>
          <w:rFonts w:hint="eastAsia"/>
          <w:b/>
          <w:bCs/>
          <w:noProof/>
        </w:rPr>
        <w:t>·</w:t>
      </w:r>
      <w:r w:rsidRPr="00F03227">
        <w:rPr>
          <w:rFonts w:hint="eastAsia"/>
          <w:b/>
          <w:bCs/>
          <w:noProof/>
        </w:rPr>
        <w:t>巴里亚</w:t>
      </w:r>
      <w:r w:rsidRPr="00F03227">
        <w:rPr>
          <w:rFonts w:hint="eastAsia"/>
          <w:b/>
          <w:bCs/>
          <w:noProof/>
        </w:rPr>
        <w:t>-</w:t>
      </w:r>
      <w:r w:rsidRPr="00F03227">
        <w:rPr>
          <w:rFonts w:hint="eastAsia"/>
          <w:b/>
          <w:bCs/>
          <w:noProof/>
        </w:rPr>
        <w:t>阿森霍</w:t>
      </w:r>
      <w:r w:rsidRPr="00F03227">
        <w:rPr>
          <w:rFonts w:hint="eastAsia"/>
          <w:b/>
          <w:bCs/>
          <w:noProof/>
        </w:rPr>
        <w:t>（</w:t>
      </w:r>
      <w:r w:rsidRPr="00F03227">
        <w:rPr>
          <w:rFonts w:hint="eastAsia"/>
          <w:b/>
          <w:bCs/>
          <w:noProof/>
        </w:rPr>
        <w:t>Nicol A. Barria-Asenjo</w:t>
      </w:r>
      <w:r w:rsidRPr="00F03227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，作家、散文家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《法国世界外交论坛月刊》</w:t>
      </w:r>
      <w:r>
        <w:rPr>
          <w:rFonts w:hint="eastAsia"/>
          <w:noProof/>
        </w:rPr>
        <w:t>（</w:t>
      </w:r>
      <w:r w:rsidRPr="00F03227">
        <w:rPr>
          <w:rFonts w:hint="eastAsia"/>
          <w:i/>
          <w:iCs/>
          <w:noProof/>
        </w:rPr>
        <w:t>Le Monde Diplomatique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和《</w:t>
      </w:r>
      <w:r>
        <w:rPr>
          <w:rFonts w:hint="eastAsia"/>
          <w:noProof/>
        </w:rPr>
        <w:t>Nuestra Rep</w:t>
      </w:r>
      <w:r w:rsidRPr="00F03227">
        <w:rPr>
          <w:noProof/>
        </w:rPr>
        <w:t>ú</w:t>
      </w:r>
      <w:r>
        <w:rPr>
          <w:rFonts w:hint="eastAsia"/>
          <w:noProof/>
        </w:rPr>
        <w:t>blica</w:t>
      </w:r>
      <w:r>
        <w:rPr>
          <w:rFonts w:hint="eastAsia"/>
          <w:noProof/>
        </w:rPr>
        <w:t>》报成员。</w:t>
      </w:r>
    </w:p>
    <w:p w14:paraId="2550785C" w14:textId="77777777" w:rsidR="00F03227" w:rsidRDefault="00F03227" w:rsidP="00F03227">
      <w:pPr>
        <w:ind w:firstLineChars="200" w:firstLine="420"/>
        <w:rPr>
          <w:noProof/>
        </w:rPr>
      </w:pPr>
    </w:p>
    <w:p w14:paraId="5F98A770" w14:textId="2DD1B3C7" w:rsidR="00110405" w:rsidRPr="0050499B" w:rsidRDefault="00F03227" w:rsidP="00F03227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F129765" wp14:editId="105B58ED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158240" cy="1143000"/>
            <wp:effectExtent l="0" t="0" r="3810" b="0"/>
            <wp:wrapSquare wrapText="bothSides"/>
            <wp:docPr id="410455443" name="图片 2" descr="Slavoj Ži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avoj Žiž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642" cy="11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227">
        <w:rPr>
          <w:rFonts w:hint="eastAsia"/>
          <w:b/>
          <w:bCs/>
          <w:noProof/>
        </w:rPr>
        <w:t>斯拉沃热·齐泽克</w:t>
      </w:r>
      <w:r w:rsidRPr="00F03227">
        <w:rPr>
          <w:rFonts w:hint="eastAsia"/>
          <w:b/>
          <w:bCs/>
          <w:noProof/>
        </w:rPr>
        <w:t>（</w:t>
      </w:r>
      <w:r w:rsidRPr="00F03227">
        <w:rPr>
          <w:rFonts w:hint="eastAsia"/>
          <w:b/>
          <w:bCs/>
          <w:noProof/>
        </w:rPr>
        <w:t xml:space="preserve">Slavoj </w:t>
      </w:r>
      <w:r w:rsidRPr="00F03227">
        <w:rPr>
          <w:rFonts w:ascii="Cambria" w:hAnsi="Cambria" w:cs="Cambria"/>
          <w:b/>
          <w:bCs/>
          <w:noProof/>
        </w:rPr>
        <w:t>Ž</w:t>
      </w:r>
      <w:r w:rsidRPr="00F03227">
        <w:rPr>
          <w:rFonts w:hint="eastAsia"/>
          <w:b/>
          <w:bCs/>
          <w:noProof/>
        </w:rPr>
        <w:t>i</w:t>
      </w:r>
      <w:r w:rsidRPr="00F03227">
        <w:rPr>
          <w:rFonts w:ascii="Cambria" w:hAnsi="Cambria" w:cs="Cambria"/>
          <w:b/>
          <w:bCs/>
          <w:noProof/>
        </w:rPr>
        <w:t>ž</w:t>
      </w:r>
      <w:r w:rsidRPr="00F03227">
        <w:rPr>
          <w:rFonts w:hint="eastAsia"/>
          <w:b/>
          <w:bCs/>
          <w:noProof/>
        </w:rPr>
        <w:t>ek</w:t>
      </w:r>
      <w:r w:rsidRPr="00F03227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是黑格尔哲学家、拉康精神分析学家和共产主义者，现为英国伦敦大学伯克贝克人文学院国际部主任、美国纽约大学客座教授、斯洛文尼亚卢布尔雅那大学哲学系高级研究员。</w:t>
      </w:r>
      <w:r w:rsidRPr="00F03227">
        <w:rPr>
          <w:rFonts w:hint="eastAsia"/>
          <w:noProof/>
        </w:rPr>
        <w:t>他长期致力于研究拉康精神分析理论与马克思主义哲学，将精神分析、主体性、意识形态和大众文化熔于一炉，形成了极为独特的学术思想和政治立场，成为</w:t>
      </w:r>
      <w:r w:rsidRPr="00F03227">
        <w:rPr>
          <w:rFonts w:hint="eastAsia"/>
          <w:noProof/>
        </w:rPr>
        <w:t>20</w:t>
      </w:r>
      <w:r w:rsidRPr="00F03227">
        <w:rPr>
          <w:rFonts w:hint="eastAsia"/>
          <w:noProof/>
        </w:rPr>
        <w:t>世纪</w:t>
      </w:r>
      <w:r w:rsidRPr="00F03227">
        <w:rPr>
          <w:rFonts w:hint="eastAsia"/>
          <w:noProof/>
        </w:rPr>
        <w:t>90</w:t>
      </w:r>
      <w:r w:rsidRPr="00F03227">
        <w:rPr>
          <w:rFonts w:hint="eastAsia"/>
          <w:noProof/>
        </w:rPr>
        <w:t>年代以来最为耀眼的国际学术明星之一。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EC12" w14:textId="77777777" w:rsidR="002178B5" w:rsidRDefault="002178B5">
      <w:r>
        <w:separator/>
      </w:r>
    </w:p>
  </w:endnote>
  <w:endnote w:type="continuationSeparator" w:id="0">
    <w:p w14:paraId="3DE8FB0A" w14:textId="77777777" w:rsidR="002178B5" w:rsidRDefault="0021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1133" w14:textId="77777777" w:rsidR="002178B5" w:rsidRDefault="002178B5">
      <w:r>
        <w:separator/>
      </w:r>
    </w:p>
  </w:footnote>
  <w:footnote w:type="continuationSeparator" w:id="0">
    <w:p w14:paraId="3479EAC6" w14:textId="77777777" w:rsidR="002178B5" w:rsidRDefault="0021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2A90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178B5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181D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397B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4FB1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227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B3397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B3397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1575</Characters>
  <Application>Microsoft Office Word</Application>
  <DocSecurity>0</DocSecurity>
  <Lines>13</Lines>
  <Paragraphs>3</Paragraphs>
  <ScaleCrop>false</ScaleCrop>
  <Company>2ndSpAcE</Company>
  <LinksUpToDate>false</LinksUpToDate>
  <CharactersWithSpaces>1848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2024-11-05T03:55:00Z</dcterms:created>
  <dcterms:modified xsi:type="dcterms:W3CDTF">2024-11-05T04:08:00Z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