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pict>
          <v:shape id="_x0000_s2145" o:spid="_x0000_s2145" o:spt="75" alt="" type="#_x0000_t75" style="position:absolute;left:0pt;margin-left:312.25pt;margin-top:5.35pt;height:149pt;width:104.7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拜占庭：变革中的帝国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英文书名：BYZANTIUM IN A CHANGING WORLD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者：James Howard-Johnston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  <w:bookmarkStart w:id="5" w:name="_GoBack"/>
      <w:bookmarkEnd w:id="5"/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2025年7月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304页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7AFD1220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位于</w:t>
      </w:r>
      <w:r>
        <w:rPr>
          <w:szCs w:val="21"/>
        </w:rPr>
        <w:t>中世纪</w:t>
      </w:r>
      <w:r>
        <w:rPr>
          <w:rFonts w:hint="eastAsia"/>
          <w:szCs w:val="21"/>
        </w:rPr>
        <w:t>欧洲边缘的</w:t>
      </w:r>
      <w:r>
        <w:rPr>
          <w:szCs w:val="21"/>
        </w:rPr>
        <w:t>拜占庭帝国通常被</w:t>
      </w:r>
      <w:r>
        <w:rPr>
          <w:rFonts w:hint="eastAsia"/>
          <w:szCs w:val="21"/>
        </w:rPr>
        <w:t>认为</w:t>
      </w:r>
      <w:r>
        <w:rPr>
          <w:szCs w:val="21"/>
        </w:rPr>
        <w:t>颇具异国情调。​它官僚化，使用希腊语而非拉丁语，信奉东正教而非天主教，</w:t>
      </w:r>
      <w:r>
        <w:rPr>
          <w:rFonts w:hint="eastAsia"/>
          <w:szCs w:val="21"/>
        </w:rPr>
        <w:t>尽管富有却并不强大</w:t>
      </w:r>
      <w:r>
        <w:rPr>
          <w:szCs w:val="21"/>
        </w:rPr>
        <w:t>，依靠狡诈而非</w:t>
      </w:r>
      <w:r>
        <w:rPr>
          <w:rFonts w:hint="eastAsia"/>
          <w:szCs w:val="21"/>
        </w:rPr>
        <w:t>军事实力</w:t>
      </w:r>
      <w:r>
        <w:rPr>
          <w:szCs w:val="21"/>
        </w:rPr>
        <w:t>来</w:t>
      </w:r>
      <w:r>
        <w:rPr>
          <w:rFonts w:hint="eastAsia"/>
          <w:szCs w:val="21"/>
        </w:rPr>
        <w:t>阻挡</w:t>
      </w:r>
      <w:r>
        <w:rPr>
          <w:szCs w:val="21"/>
        </w:rPr>
        <w:t>敌人。​由于绝大多数</w:t>
      </w:r>
      <w:r>
        <w:rPr>
          <w:rFonts w:hint="eastAsia"/>
          <w:szCs w:val="21"/>
        </w:rPr>
        <w:t>一手材料均出自</w:t>
      </w:r>
      <w:r>
        <w:rPr>
          <w:szCs w:val="21"/>
        </w:rPr>
        <w:t>其首都，</w:t>
      </w:r>
      <w:r>
        <w:rPr>
          <w:rFonts w:hint="eastAsia"/>
          <w:szCs w:val="21"/>
        </w:rPr>
        <w:t>人们通常是从内部出发、自上而下地审视</w:t>
      </w:r>
      <w:r>
        <w:rPr>
          <w:szCs w:val="21"/>
        </w:rPr>
        <w:t>拜占庭。​《</w:t>
      </w:r>
      <w:r>
        <w:rPr>
          <w:rFonts w:hint="eastAsia"/>
          <w:szCs w:val="21"/>
        </w:rPr>
        <w:t>拜占庭：变革中的帝国</w:t>
      </w:r>
      <w:r>
        <w:rPr>
          <w:szCs w:val="21"/>
        </w:rPr>
        <w:t>》采用</w:t>
      </w:r>
      <w:r>
        <w:rPr>
          <w:rFonts w:hint="eastAsia"/>
          <w:szCs w:val="21"/>
        </w:rPr>
        <w:t>了</w:t>
      </w:r>
      <w:r>
        <w:rPr>
          <w:szCs w:val="21"/>
        </w:rPr>
        <w:t>截然不同的方法，</w:t>
      </w:r>
      <w:r>
        <w:rPr>
          <w:rFonts w:hint="eastAsia"/>
          <w:szCs w:val="21"/>
        </w:rPr>
        <w:t>将</w:t>
      </w:r>
      <w:r>
        <w:rPr>
          <w:szCs w:val="21"/>
        </w:rPr>
        <w:t>从外部观察拜占庭及其前身东罗马帝国，探讨它们如何应对各种外部威胁，尤其是萨珊王朝，以及</w:t>
      </w:r>
      <w:r>
        <w:rPr>
          <w:rFonts w:hint="eastAsia"/>
          <w:szCs w:val="21"/>
        </w:rPr>
        <w:t>后来那些在公元</w:t>
      </w:r>
      <w:r>
        <w:rPr>
          <w:szCs w:val="21"/>
        </w:rPr>
        <w:t>七世纪</w:t>
      </w:r>
      <w:r>
        <w:rPr>
          <w:rFonts w:hint="eastAsia"/>
          <w:szCs w:val="21"/>
        </w:rPr>
        <w:t>破坏了</w:t>
      </w:r>
      <w:r>
        <w:rPr>
          <w:szCs w:val="21"/>
        </w:rPr>
        <w:t>古代世界秩序的阿拉伯人。</w:t>
      </w:r>
    </w:p>
    <w:p w14:paraId="59AD4711">
      <w:pPr>
        <w:ind w:firstLine="420" w:firstLineChars="200"/>
        <w:rPr>
          <w:szCs w:val="21"/>
        </w:rPr>
      </w:pPr>
    </w:p>
    <w:p w14:paraId="678C3150">
      <w:pPr>
        <w:ind w:firstLine="420" w:firstLineChars="200"/>
        <w:rPr>
          <w:szCs w:val="21"/>
        </w:rPr>
      </w:pPr>
      <w:r>
        <w:rPr>
          <w:szCs w:val="21"/>
        </w:rPr>
        <w:t>拜占庭帝国在应对外部攻击时，成功地</w:t>
      </w:r>
      <w:r>
        <w:rPr>
          <w:rFonts w:hint="eastAsia"/>
          <w:szCs w:val="21"/>
        </w:rPr>
        <w:t>使</w:t>
      </w:r>
      <w:r>
        <w:rPr>
          <w:szCs w:val="21"/>
        </w:rPr>
        <w:t>其意识形态、文化、宗教和基本结构</w:t>
      </w:r>
      <w:r>
        <w:rPr>
          <w:rFonts w:hint="eastAsia"/>
          <w:szCs w:val="21"/>
        </w:rPr>
        <w:t>得以延续</w:t>
      </w:r>
      <w:r>
        <w:rPr>
          <w:szCs w:val="21"/>
        </w:rPr>
        <w:t>。​除了两个主要的东方对手外，拜占庭还击退了一系列掠夺性势力：</w:t>
      </w:r>
      <w:r>
        <w:rPr>
          <w:rFonts w:hint="eastAsia"/>
          <w:szCs w:val="21"/>
        </w:rPr>
        <w:t>古典时代</w:t>
      </w:r>
      <w:r>
        <w:rPr>
          <w:szCs w:val="21"/>
        </w:rPr>
        <w:t>晚期的匈人和阿瓦尔人，随后是黑暗时代的保加尔人，以及</w:t>
      </w:r>
      <w:r>
        <w:rPr>
          <w:rFonts w:hint="eastAsia"/>
          <w:szCs w:val="21"/>
        </w:rPr>
        <w:t>再然后，</w:t>
      </w:r>
      <w:r>
        <w:rPr>
          <w:szCs w:val="21"/>
        </w:rPr>
        <w:t>复兴时期的匈牙利人、佩切涅格人和罗斯人。​这</w:t>
      </w:r>
      <w:r>
        <w:rPr>
          <w:rFonts w:hint="eastAsia"/>
          <w:szCs w:val="21"/>
        </w:rPr>
        <w:t>是一本通俗易懂</w:t>
      </w:r>
      <w:r>
        <w:rPr>
          <w:szCs w:val="21"/>
        </w:rPr>
        <w:t>的拜占庭历史入门书</w:t>
      </w:r>
      <w:r>
        <w:rPr>
          <w:rFonts w:hint="eastAsia"/>
          <w:szCs w:val="21"/>
        </w:rPr>
        <w:t>，</w:t>
      </w:r>
      <w:r>
        <w:rPr>
          <w:szCs w:val="21"/>
        </w:rPr>
        <w:t>包含六个按时间顺序组织的章节</w:t>
      </w:r>
      <w:r>
        <w:rPr>
          <w:rFonts w:hint="eastAsia"/>
          <w:szCs w:val="21"/>
        </w:rPr>
        <w:t>，从古典时代</w:t>
      </w:r>
      <w:r>
        <w:rPr>
          <w:szCs w:val="21"/>
        </w:rPr>
        <w:t>晚期到1453年拜占庭帝国灭亡。</w:t>
      </w:r>
      <w:r>
        <w:rPr>
          <w:rFonts w:hint="eastAsia"/>
          <w:szCs w:val="21"/>
        </w:rPr>
        <w:t>詹姆斯•霍华德</w:t>
      </w:r>
      <w:r>
        <w:rPr>
          <w:szCs w:val="21"/>
        </w:rPr>
        <w:t>-约翰斯顿</w:t>
      </w:r>
      <w:r>
        <w:rPr>
          <w:rFonts w:hint="eastAsia"/>
          <w:szCs w:val="21"/>
        </w:rPr>
        <w:t>认为</w:t>
      </w:r>
      <w:r>
        <w:rPr>
          <w:szCs w:val="21"/>
        </w:rPr>
        <w:t>，拜占庭在七世纪为</w:t>
      </w:r>
      <w:r>
        <w:rPr>
          <w:rFonts w:hint="eastAsia"/>
          <w:szCs w:val="21"/>
        </w:rPr>
        <w:t>了备战</w:t>
      </w:r>
      <w:r>
        <w:rPr>
          <w:szCs w:val="21"/>
        </w:rPr>
        <w:t>，农村成为社会秩序的基础，游击战策略与</w:t>
      </w:r>
      <w:r>
        <w:rPr>
          <w:rFonts w:hint="eastAsia"/>
          <w:szCs w:val="21"/>
        </w:rPr>
        <w:t>具有针对性</w:t>
      </w:r>
      <w:r>
        <w:rPr>
          <w:szCs w:val="21"/>
        </w:rPr>
        <w:t>的外交活动相结合，确保了国家的</w:t>
      </w:r>
      <w:r>
        <w:rPr>
          <w:rFonts w:hint="eastAsia"/>
          <w:szCs w:val="21"/>
        </w:rPr>
        <w:t>存续与后来的</w:t>
      </w:r>
      <w:r>
        <w:rPr>
          <w:szCs w:val="21"/>
        </w:rPr>
        <w:t>复兴。​</w:t>
      </w:r>
    </w:p>
    <w:p w14:paraId="521EA209"/>
    <w:p w14:paraId="1655EFEC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pict>
          <v:shape id="_x0000_s2146" o:spid="_x0000_s2146" o:spt="75" type="#_x0000_t75" style="position:absolute;left:0pt;margin-left:1.7pt;margin-top:9.2pt;height:77.8pt;width:66.5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</w:p>
    <w:bookmarkEnd w:id="0"/>
    <w:p w14:paraId="27953F84">
      <w:p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詹姆斯</w:t>
      </w:r>
      <w:r>
        <w:rPr>
          <w:rFonts w:hint="eastAsia"/>
          <w:szCs w:val="21"/>
        </w:rPr>
        <w:t>·</w:t>
      </w:r>
      <w:r>
        <w:rPr>
          <w:rFonts w:hint="eastAsia"/>
          <w:b/>
          <w:bCs/>
          <w:szCs w:val="21"/>
        </w:rPr>
        <w:t>霍华德-</w:t>
      </w:r>
      <w:r>
        <w:rPr>
          <w:b/>
          <w:bCs/>
          <w:szCs w:val="21"/>
        </w:rPr>
        <w:t>约翰斯顿（James Howard-Johnston）</w:t>
      </w:r>
      <w:r>
        <w:rPr>
          <w:szCs w:val="21"/>
        </w:rPr>
        <w:t>是牛津大学科珀斯克里斯蒂学院名誉研究员。1966年至1971年，他曾是牛津大学基督教堂的初级研究讲师</w:t>
      </w:r>
      <w:r>
        <w:rPr>
          <w:rFonts w:hint="eastAsia"/>
          <w:szCs w:val="21"/>
        </w:rPr>
        <w:t>；</w:t>
      </w:r>
      <w:r>
        <w:rPr>
          <w:szCs w:val="21"/>
        </w:rPr>
        <w:t>1968年至1969年，他曾是华盛顿特区敦巴顿橡树园的初级研究员</w:t>
      </w:r>
      <w:r>
        <w:rPr>
          <w:rFonts w:hint="eastAsia"/>
          <w:szCs w:val="21"/>
        </w:rPr>
        <w:t>；</w:t>
      </w:r>
      <w:r>
        <w:rPr>
          <w:szCs w:val="21"/>
        </w:rPr>
        <w:t>1971年至2009年，他曾是牛津大学拜占庭研究的大学讲师和基督圣体学院的研究员。他还担任过牛津市议员和牛津郡议员，并与小说家安吉拉</w:t>
      </w:r>
      <w:r>
        <w:rPr>
          <w:rFonts w:hint="eastAsia"/>
          <w:szCs w:val="21"/>
        </w:rPr>
        <w:t>·</w:t>
      </w:r>
      <w:r>
        <w:rPr>
          <w:szCs w:val="21"/>
        </w:rPr>
        <w:t>胡特</w:t>
      </w:r>
      <w:r>
        <w:rPr>
          <w:rFonts w:hint="eastAsia"/>
          <w:szCs w:val="21"/>
        </w:rPr>
        <w:t>（</w:t>
      </w:r>
      <w:r>
        <w:rPr>
          <w:szCs w:val="21"/>
        </w:rPr>
        <w:t>Angela Huth</w:t>
      </w:r>
      <w:r>
        <w:rPr>
          <w:rFonts w:hint="eastAsia"/>
          <w:szCs w:val="21"/>
        </w:rPr>
        <w:t>）</w:t>
      </w:r>
      <w:r>
        <w:rPr>
          <w:szCs w:val="21"/>
        </w:rPr>
        <w:t>结婚。</w:t>
      </w:r>
    </w:p>
    <w:p w14:paraId="1E8BC1D0">
      <w:pPr>
        <w:rPr>
          <w:bCs/>
          <w:color w:val="000000"/>
        </w:rPr>
      </w:pPr>
    </w:p>
    <w:p w14:paraId="6B60BAFB">
      <w:pPr>
        <w:rPr>
          <w:b/>
          <w:color w:val="000000"/>
        </w:rPr>
      </w:pPr>
    </w:p>
    <w:bookmarkEnd w:id="1"/>
    <w:bookmarkEnd w:id="2"/>
    <w:p w14:paraId="7A4FB44E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55pt;width:94.4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1AD"/>
    <w:rsid w:val="002E74F4"/>
    <w:rsid w:val="002F3577"/>
    <w:rsid w:val="003015FD"/>
    <w:rsid w:val="003018F6"/>
    <w:rsid w:val="0030220B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1952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678BC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0D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565002C0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uiPriority w:val="0"/>
  </w:style>
  <w:style w:type="character" w:customStyle="1" w:styleId="18">
    <w:name w:val="adb1c60b4f4fc4cfd803104be6a00a179526"/>
    <w:uiPriority w:val="0"/>
  </w:style>
  <w:style w:type="character" w:customStyle="1" w:styleId="19">
    <w:name w:val="adb1c60b4f4fc4cfd803104be6a00a179660"/>
    <w:uiPriority w:val="0"/>
  </w:style>
  <w:style w:type="character" w:customStyle="1" w:styleId="20">
    <w:name w:val="adb1c60b4f4fc4cfd803104be6a00a179672"/>
    <w:uiPriority w:val="0"/>
  </w:style>
  <w:style w:type="character" w:customStyle="1" w:styleId="21">
    <w:name w:val="adb1c60b4f4fc4cfd803104be6a00a179666"/>
    <w:uiPriority w:val="0"/>
  </w:style>
  <w:style w:type="character" w:customStyle="1" w:styleId="22">
    <w:name w:val="a-text-bold"/>
    <w:uiPriority w:val="0"/>
  </w:style>
  <w:style w:type="character" w:customStyle="1" w:styleId="23">
    <w:name w:val="Unresolved Mention"/>
    <w:unhideWhenUsed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45"/>
    <customShpInfo spid="_x0000_s21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860</Words>
  <Characters>1236</Characters>
  <Lines>12</Lines>
  <Paragraphs>3</Paragraphs>
  <TotalTime>203</TotalTime>
  <ScaleCrop>false</ScaleCrop>
  <LinksUpToDate>false</LinksUpToDate>
  <CharactersWithSpaces>1266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2025-03-25T02:55:51Z</dcterms:modified>
  <dc:title>新 书 推 荐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