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9B3B32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9B3B32">
        <w:rPr>
          <w:rFonts w:hint="eastAsia"/>
          <w:b/>
          <w:bCs/>
          <w:sz w:val="36"/>
          <w:shd w:val="pct10" w:color="auto" w:fill="FFFFFF"/>
        </w:rPr>
        <w:t>新</w:t>
      </w:r>
      <w:r w:rsidRPr="009B3B32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B3B32">
        <w:rPr>
          <w:rFonts w:hint="eastAsia"/>
          <w:b/>
          <w:bCs/>
          <w:sz w:val="36"/>
          <w:shd w:val="pct10" w:color="auto" w:fill="FFFFFF"/>
        </w:rPr>
        <w:t>书</w:t>
      </w:r>
      <w:r w:rsidRPr="009B3B32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B3B32">
        <w:rPr>
          <w:rFonts w:hint="eastAsia"/>
          <w:b/>
          <w:bCs/>
          <w:sz w:val="36"/>
          <w:shd w:val="pct10" w:color="auto" w:fill="FFFFFF"/>
        </w:rPr>
        <w:t>推</w:t>
      </w:r>
      <w:r w:rsidRPr="009B3B32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B3B32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3D0A46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Default="00852A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4140" cy="2045335"/>
            <wp:effectExtent l="0" t="0" r="0" b="0"/>
            <wp:wrapNone/>
            <wp:docPr id="4" name="图片 4" descr="978019765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7801976545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B3B32">
        <w:rPr>
          <w:rFonts w:hint="eastAsia"/>
          <w:b/>
          <w:bCs/>
          <w:color w:val="000000"/>
          <w:szCs w:val="21"/>
        </w:rPr>
        <w:t>《</w:t>
      </w:r>
      <w:r w:rsidR="00AE61E6" w:rsidRPr="00AE61E6">
        <w:rPr>
          <w:rFonts w:hint="eastAsia"/>
          <w:b/>
          <w:bCs/>
          <w:color w:val="000000"/>
          <w:szCs w:val="21"/>
        </w:rPr>
        <w:t>论无知</w:t>
      </w:r>
      <w:r w:rsidR="009B3B32">
        <w:rPr>
          <w:rFonts w:hint="eastAsia"/>
          <w:b/>
          <w:bCs/>
          <w:color w:val="000000"/>
          <w:szCs w:val="21"/>
        </w:rPr>
        <w:t>：哲学研究》</w:t>
      </w:r>
    </w:p>
    <w:p w:rsidR="00A30D90" w:rsidRDefault="00A30D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bookmarkStart w:id="1" w:name="OLE_LINK1"/>
      <w:r w:rsidR="00E14475" w:rsidRPr="00A60828">
        <w:rPr>
          <w:b/>
          <w:bCs/>
          <w:i/>
          <w:color w:val="000000"/>
          <w:szCs w:val="21"/>
        </w:rPr>
        <w:t>Ignorance</w:t>
      </w:r>
      <w:bookmarkEnd w:id="1"/>
      <w:r w:rsidR="007103EE">
        <w:rPr>
          <w:rFonts w:hint="eastAsia"/>
          <w:b/>
          <w:bCs/>
          <w:i/>
          <w:color w:val="000000"/>
          <w:szCs w:val="21"/>
        </w:rPr>
        <w:t xml:space="preserve">: </w:t>
      </w:r>
      <w:r w:rsidR="009B3B32" w:rsidRPr="00A60828">
        <w:rPr>
          <w:b/>
          <w:bCs/>
          <w:i/>
          <w:color w:val="000000"/>
          <w:szCs w:val="21"/>
        </w:rPr>
        <w:t>A Philosophical Study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E14475">
        <w:rPr>
          <w:b/>
          <w:bCs/>
          <w:color w:val="000000"/>
          <w:szCs w:val="21"/>
        </w:rPr>
        <w:t xml:space="preserve">Rik Peels </w:t>
      </w:r>
      <w:hyperlink r:id="rId9" w:history="1"/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Oxford </w:t>
      </w:r>
      <w:r>
        <w:rPr>
          <w:b/>
          <w:bCs/>
          <w:color w:val="000000"/>
          <w:szCs w:val="21"/>
        </w:rPr>
        <w:t>University Press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A30D90" w:rsidRPr="009B3B32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9B3B32">
        <w:rPr>
          <w:b/>
          <w:bCs/>
          <w:szCs w:val="21"/>
        </w:rPr>
        <w:t>页</w:t>
      </w:r>
      <w:r w:rsidRPr="009B3B32">
        <w:rPr>
          <w:b/>
          <w:bCs/>
          <w:szCs w:val="21"/>
        </w:rPr>
        <w:t xml:space="preserve">    </w:t>
      </w:r>
      <w:r w:rsidRPr="009B3B32">
        <w:rPr>
          <w:b/>
          <w:bCs/>
          <w:szCs w:val="21"/>
        </w:rPr>
        <w:t>数：</w:t>
      </w:r>
      <w:r w:rsidR="009B3B32" w:rsidRPr="009B3B32">
        <w:rPr>
          <w:rFonts w:hint="eastAsia"/>
          <w:b/>
          <w:bCs/>
          <w:szCs w:val="21"/>
        </w:rPr>
        <w:t>344</w:t>
      </w:r>
      <w:r w:rsidRPr="009B3B32">
        <w:rPr>
          <w:rFonts w:hint="eastAsia"/>
          <w:b/>
          <w:bCs/>
          <w:szCs w:val="21"/>
        </w:rPr>
        <w:t>页</w:t>
      </w:r>
    </w:p>
    <w:p w:rsidR="00A30D90" w:rsidRPr="009B3B32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B3B32">
        <w:rPr>
          <w:b/>
          <w:bCs/>
          <w:szCs w:val="21"/>
        </w:rPr>
        <w:t>出版时间：</w:t>
      </w:r>
      <w:r w:rsidRPr="009B3B32">
        <w:rPr>
          <w:b/>
          <w:bCs/>
          <w:szCs w:val="21"/>
        </w:rPr>
        <w:t>202</w:t>
      </w:r>
      <w:r w:rsidR="009B3B32" w:rsidRPr="009B3B32">
        <w:rPr>
          <w:rFonts w:hint="eastAsia"/>
          <w:b/>
          <w:bCs/>
          <w:szCs w:val="21"/>
        </w:rPr>
        <w:t>3</w:t>
      </w:r>
      <w:r w:rsidRPr="009B3B32">
        <w:rPr>
          <w:b/>
          <w:bCs/>
          <w:szCs w:val="21"/>
        </w:rPr>
        <w:t>年</w:t>
      </w:r>
      <w:r w:rsidR="009B3B32" w:rsidRPr="009B3B32">
        <w:rPr>
          <w:rFonts w:hint="eastAsia"/>
          <w:b/>
          <w:bCs/>
          <w:szCs w:val="21"/>
        </w:rPr>
        <w:t>2</w:t>
      </w:r>
      <w:r w:rsidRPr="009B3B32">
        <w:rPr>
          <w:b/>
          <w:bCs/>
          <w:szCs w:val="21"/>
        </w:rPr>
        <w:t>月</w:t>
      </w:r>
    </w:p>
    <w:p w:rsidR="00A30D90" w:rsidRPr="00A60828" w:rsidRDefault="00A30D90">
      <w:pPr>
        <w:rPr>
          <w:b/>
          <w:bCs/>
        </w:rPr>
      </w:pPr>
      <w:r w:rsidRPr="00A60828">
        <w:rPr>
          <w:b/>
          <w:bCs/>
        </w:rPr>
        <w:t>代理地区：中国大陆、台湾</w:t>
      </w:r>
    </w:p>
    <w:p w:rsidR="00A30D90" w:rsidRPr="00A60828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60828">
        <w:rPr>
          <w:b/>
          <w:bCs/>
          <w:szCs w:val="21"/>
        </w:rPr>
        <w:t>审读资料：电子稿</w:t>
      </w:r>
    </w:p>
    <w:p w:rsidR="00A30D90" w:rsidRPr="00D67E5D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67E5D">
        <w:rPr>
          <w:b/>
          <w:bCs/>
          <w:szCs w:val="21"/>
        </w:rPr>
        <w:t>类</w:t>
      </w:r>
      <w:r w:rsidRPr="00D67E5D">
        <w:rPr>
          <w:b/>
          <w:bCs/>
          <w:szCs w:val="21"/>
        </w:rPr>
        <w:t xml:space="preserve">    </w:t>
      </w:r>
      <w:r w:rsidRPr="00D67E5D">
        <w:rPr>
          <w:b/>
          <w:bCs/>
          <w:szCs w:val="21"/>
        </w:rPr>
        <w:t>型：</w:t>
      </w:r>
      <w:r w:rsidR="00D67E5D" w:rsidRPr="00D67E5D">
        <w:rPr>
          <w:rFonts w:hint="eastAsia"/>
          <w:b/>
          <w:bCs/>
          <w:szCs w:val="21"/>
        </w:rPr>
        <w:t>大众哲学</w:t>
      </w:r>
      <w:r w:rsidR="00D67E5D" w:rsidRPr="00D67E5D">
        <w:rPr>
          <w:rFonts w:hint="eastAsia"/>
          <w:b/>
          <w:bCs/>
          <w:szCs w:val="21"/>
        </w:rPr>
        <w:t xml:space="preserve"> </w:t>
      </w:r>
    </w:p>
    <w:p w:rsidR="00482D37" w:rsidRDefault="00482D37">
      <w:pPr>
        <w:rPr>
          <w:b/>
          <w:bCs/>
          <w:color w:val="FF0000"/>
          <w:szCs w:val="21"/>
        </w:rPr>
      </w:pPr>
    </w:p>
    <w:p w:rsidR="00A60828" w:rsidRPr="003D0A46" w:rsidRDefault="00A60828">
      <w:pPr>
        <w:rPr>
          <w:rFonts w:hint="eastAsia"/>
          <w:b/>
          <w:bCs/>
          <w:color w:val="FF0000"/>
        </w:rPr>
      </w:pPr>
    </w:p>
    <w:p w:rsidR="00A30D90" w:rsidRDefault="00A30D90">
      <w:pPr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卖点：</w:t>
      </w:r>
    </w:p>
    <w:p w:rsidR="00A30D90" w:rsidRDefault="00A30D90">
      <w:pPr>
        <w:rPr>
          <w:b/>
          <w:bCs/>
          <w:color w:val="000000"/>
        </w:rPr>
      </w:pPr>
    </w:p>
    <w:p w:rsidR="003D0A46" w:rsidRDefault="003D0A46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这是首部系统构建完整“无知认识论”、剖析无知层级并阐释群体无知现象的著作。</w:t>
      </w:r>
    </w:p>
    <w:p w:rsidR="003D0A46" w:rsidRDefault="003D0A46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书中</w:t>
      </w:r>
      <w:proofErr w:type="gramStart"/>
      <w:r>
        <w:rPr>
          <w:rFonts w:hint="eastAsia"/>
          <w:bCs/>
          <w:color w:val="000000"/>
        </w:rPr>
        <w:t>深入解</w:t>
      </w:r>
      <w:proofErr w:type="gramEnd"/>
      <w:r>
        <w:rPr>
          <w:rFonts w:hint="eastAsia"/>
          <w:bCs/>
          <w:color w:val="000000"/>
        </w:rPr>
        <w:t>构了与无知相关的各类敏感议题背后的复杂肌理——从“白人无知”的学术论争，到旨在维系蒙昧状态的实践行为之实证研究，均以严谨的分析哲学方法论为基底展开探讨。</w:t>
      </w:r>
    </w:p>
    <w:p w:rsidR="003D0A46" w:rsidRDefault="003D0A46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其论述既恪守哲学研究的逻辑严密性，又以跨学科视角实现知识转译，便于哲学以外领域的研究者理解与借鉴。</w:t>
      </w:r>
    </w:p>
    <w:p w:rsidR="00A60828" w:rsidRDefault="00A60828" w:rsidP="00A60828">
      <w:pPr>
        <w:rPr>
          <w:bCs/>
          <w:color w:val="000000"/>
        </w:rPr>
      </w:pPr>
    </w:p>
    <w:p w:rsidR="00A60828" w:rsidRDefault="00A60828" w:rsidP="00A60828">
      <w:pPr>
        <w:rPr>
          <w:rFonts w:hint="eastAsia"/>
          <w:bCs/>
          <w:color w:val="000000"/>
        </w:rPr>
      </w:pPr>
    </w:p>
    <w:p w:rsidR="00482D37" w:rsidRPr="00A60828" w:rsidRDefault="00A60828">
      <w:pPr>
        <w:rPr>
          <w:b/>
          <w:bCs/>
        </w:rPr>
      </w:pPr>
      <w:r w:rsidRPr="00A60828">
        <w:rPr>
          <w:rFonts w:hint="eastAsia"/>
          <w:b/>
          <w:bCs/>
        </w:rPr>
        <w:t>内容简介：</w:t>
      </w:r>
    </w:p>
    <w:p w:rsidR="00A60828" w:rsidRPr="00A60828" w:rsidRDefault="00A60828">
      <w:pPr>
        <w:rPr>
          <w:rFonts w:hint="eastAsia"/>
          <w:b/>
          <w:bCs/>
          <w:color w:val="FF0000"/>
        </w:rPr>
      </w:pPr>
    </w:p>
    <w:p w:rsidR="003D0A46" w:rsidRDefault="003D0A46" w:rsidP="003D0A46">
      <w:pPr>
        <w:ind w:firstLineChars="200" w:firstLine="420"/>
        <w:rPr>
          <w:bCs/>
        </w:rPr>
      </w:pPr>
      <w:r w:rsidRPr="003D0A46">
        <w:rPr>
          <w:rFonts w:hint="eastAsia"/>
          <w:bCs/>
        </w:rPr>
        <w:t>《</w:t>
      </w:r>
      <w:r w:rsidR="00AE61E6" w:rsidRPr="00AE61E6">
        <w:rPr>
          <w:rFonts w:hint="eastAsia"/>
          <w:bCs/>
        </w:rPr>
        <w:t>论无知</w:t>
      </w:r>
      <w:r w:rsidRPr="003D0A46">
        <w:rPr>
          <w:rFonts w:hint="eastAsia"/>
          <w:bCs/>
        </w:rPr>
        <w:t>：哲学研究》深度解构无知的多维度本质。哲学家们长期聚焦于信念、知识与理解等认识论概念的探究，却鲜少关注无知本身。苏格拉底曾自称对自然物理、伦理等诸多议题一无所知，却未将</w:t>
      </w:r>
      <w:r>
        <w:rPr>
          <w:rFonts w:hint="eastAsia"/>
          <w:bCs/>
        </w:rPr>
        <w:t>“无知”</w:t>
      </w:r>
      <w:r w:rsidRPr="003D0A46">
        <w:rPr>
          <w:rFonts w:hint="eastAsia"/>
          <w:bCs/>
        </w:rPr>
        <w:t>本身作为研究对象。直至</w:t>
      </w:r>
      <w:r w:rsidRPr="003D0A46">
        <w:rPr>
          <w:rFonts w:hint="eastAsia"/>
          <w:bCs/>
        </w:rPr>
        <w:t>20</w:t>
      </w:r>
      <w:r w:rsidRPr="003D0A46">
        <w:rPr>
          <w:rFonts w:hint="eastAsia"/>
          <w:bCs/>
        </w:rPr>
        <w:t>世纪六七十年代，随着无知学、种族哲学与女性主义哲学的相继兴起，无知才首次成为哲学研究的核心对象——然这些领域</w:t>
      </w:r>
      <w:proofErr w:type="gramStart"/>
      <w:r w:rsidRPr="003D0A46">
        <w:rPr>
          <w:rFonts w:hint="eastAsia"/>
          <w:bCs/>
        </w:rPr>
        <w:t>仅关注</w:t>
      </w:r>
      <w:proofErr w:type="gramEnd"/>
      <w:r w:rsidRPr="003D0A46">
        <w:rPr>
          <w:rFonts w:hint="eastAsia"/>
          <w:bCs/>
        </w:rPr>
        <w:t>无知的特定属性，而非其本质内涵。</w:t>
      </w:r>
    </w:p>
    <w:p w:rsidR="00A60828" w:rsidRDefault="00A60828" w:rsidP="003D0A46">
      <w:pPr>
        <w:ind w:firstLineChars="200" w:firstLine="420"/>
        <w:rPr>
          <w:bCs/>
        </w:rPr>
      </w:pPr>
    </w:p>
    <w:p w:rsidR="00C02573" w:rsidRDefault="00A60828" w:rsidP="00A60828">
      <w:pPr>
        <w:ind w:firstLineChars="200" w:firstLine="420"/>
        <w:rPr>
          <w:bCs/>
        </w:rPr>
      </w:pPr>
      <w:r w:rsidRPr="00A60828">
        <w:rPr>
          <w:rFonts w:hint="eastAsia"/>
          <w:bCs/>
        </w:rPr>
        <w:t>瑞克·皮尔斯（</w:t>
      </w:r>
      <w:r w:rsidRPr="00A60828">
        <w:rPr>
          <w:rFonts w:hint="eastAsia"/>
          <w:bCs/>
        </w:rPr>
        <w:t>Rik Peels</w:t>
      </w:r>
      <w:r w:rsidRPr="00A60828">
        <w:rPr>
          <w:rFonts w:hint="eastAsia"/>
          <w:bCs/>
        </w:rPr>
        <w:t>）在此构建全面系统的无知认识论，并将该理论体系广泛应用于</w:t>
      </w:r>
      <w:r w:rsidR="003D0A46" w:rsidRPr="003D0A46">
        <w:rPr>
          <w:rFonts w:hint="eastAsia"/>
          <w:bCs/>
        </w:rPr>
        <w:t>哲学议题的探究。他探讨的核心问题包括：无知的类型划分为何？对命题的无知作何界定？命题性无知的表现形态有哪些？群体无知的本质为何？无知的程度差异如何衡量？策略性无知的内涵指涉什么？</w:t>
      </w:r>
      <w:r w:rsidR="003D0A46">
        <w:rPr>
          <w:rFonts w:hint="eastAsia"/>
          <w:bCs/>
        </w:rPr>
        <w:t>“白人无知”</w:t>
      </w:r>
      <w:r w:rsidR="003D0A46" w:rsidRPr="003D0A46">
        <w:rPr>
          <w:rFonts w:hint="eastAsia"/>
          <w:bCs/>
        </w:rPr>
        <w:t>的哲学意涵为何？无知在何种情境下可作为免责依据？何时又需承担道德责任？无知能否成为教育的合理目标？皮尔斯以全景式探究展开论述，其研究议</w:t>
      </w:r>
      <w:r w:rsidR="003D0A46" w:rsidRPr="003D0A46">
        <w:rPr>
          <w:rFonts w:hint="eastAsia"/>
          <w:bCs/>
        </w:rPr>
        <w:lastRenderedPageBreak/>
        <w:t>题与认识论、伦理学、语言哲学、科学哲学等多学科的研究旨趣深度契合。</w:t>
      </w:r>
    </w:p>
    <w:p w:rsidR="003D0A46" w:rsidRDefault="003D0A46">
      <w:pPr>
        <w:rPr>
          <w:rFonts w:hint="eastAsia"/>
          <w:b/>
          <w:bCs/>
          <w:color w:val="FF0000"/>
        </w:rPr>
      </w:pPr>
    </w:p>
    <w:p w:rsidR="005E12F1" w:rsidRDefault="005E12F1">
      <w:pPr>
        <w:rPr>
          <w:b/>
          <w:szCs w:val="21"/>
        </w:rPr>
      </w:pPr>
    </w:p>
    <w:p w:rsidR="00A30D90" w:rsidRPr="009B3B32" w:rsidRDefault="00A30D90">
      <w:pPr>
        <w:rPr>
          <w:b/>
          <w:szCs w:val="21"/>
        </w:rPr>
      </w:pPr>
      <w:r w:rsidRPr="009B3B32">
        <w:rPr>
          <w:b/>
          <w:szCs w:val="21"/>
        </w:rPr>
        <w:t>作者简介：</w:t>
      </w:r>
    </w:p>
    <w:p w:rsidR="00A30D90" w:rsidRDefault="00A30D90">
      <w:pPr>
        <w:rPr>
          <w:b/>
          <w:szCs w:val="21"/>
        </w:rPr>
      </w:pPr>
    </w:p>
    <w:p w:rsidR="00A60828" w:rsidRPr="00A60828" w:rsidRDefault="00A60828" w:rsidP="00A60828">
      <w:pPr>
        <w:ind w:firstLineChars="200" w:firstLine="422"/>
        <w:rPr>
          <w:bCs/>
          <w:szCs w:val="21"/>
        </w:rPr>
      </w:pPr>
      <w:r w:rsidRPr="00A60828">
        <w:rPr>
          <w:rFonts w:hint="eastAsia"/>
          <w:b/>
          <w:szCs w:val="21"/>
        </w:rPr>
        <w:t>里克·皮尔斯（</w:t>
      </w:r>
      <w:r w:rsidRPr="00A60828">
        <w:rPr>
          <w:rFonts w:hint="eastAsia"/>
          <w:b/>
          <w:szCs w:val="21"/>
        </w:rPr>
        <w:t>Rik Peels</w:t>
      </w:r>
      <w:r w:rsidRPr="00A60828">
        <w:rPr>
          <w:rFonts w:hint="eastAsia"/>
          <w:b/>
          <w:szCs w:val="21"/>
        </w:rPr>
        <w:t>）教授</w:t>
      </w:r>
      <w:r w:rsidRPr="00A60828">
        <w:rPr>
          <w:rFonts w:hint="eastAsia"/>
          <w:bCs/>
          <w:szCs w:val="21"/>
        </w:rPr>
        <w:t>在信念伦理、无知哲学、科学主义及宗教哲学等领域的哲学研究颇具影响力。近年来，他作为联合负责人主导了多项由邓普</w:t>
      </w:r>
      <w:proofErr w:type="gramStart"/>
      <w:r w:rsidRPr="00A60828">
        <w:rPr>
          <w:rFonts w:hint="eastAsia"/>
          <w:bCs/>
          <w:szCs w:val="21"/>
        </w:rPr>
        <w:t>顿世界</w:t>
      </w:r>
      <w:proofErr w:type="gramEnd"/>
      <w:r w:rsidRPr="00A60828">
        <w:rPr>
          <w:rFonts w:hint="eastAsia"/>
          <w:bCs/>
          <w:szCs w:val="21"/>
        </w:rPr>
        <w:t>慈善基金会资助的国际研究项目。其学术探索逐渐聚焦于哲学与实证学科的交叉议题，如人文学科研究的可重复性问题、高校的认知责任等。目前，他正主持一项由欧洲研究委员会资助的重大科研项目，致力于极端信念的认识论与伦理研究。该项目旨在将实证研究与概念分析、规范理论相融合，系统探究原教旨主义、极端主义及阴谋论思维的深层机制。</w:t>
      </w:r>
    </w:p>
    <w:p w:rsidR="00A60828" w:rsidRDefault="00A60828">
      <w:pPr>
        <w:rPr>
          <w:b/>
          <w:szCs w:val="21"/>
        </w:rPr>
      </w:pPr>
    </w:p>
    <w:p w:rsidR="00963FA4" w:rsidRPr="003D0A46" w:rsidRDefault="00963FA4">
      <w:pPr>
        <w:rPr>
          <w:rFonts w:hint="eastAsia"/>
          <w:b/>
          <w:bCs/>
          <w:color w:val="FF0000"/>
          <w:szCs w:val="21"/>
        </w:rPr>
      </w:pPr>
    </w:p>
    <w:p w:rsidR="00A30D90" w:rsidRPr="00D67E5D" w:rsidRDefault="00A30D90">
      <w:pPr>
        <w:rPr>
          <w:b/>
          <w:bCs/>
          <w:szCs w:val="21"/>
        </w:rPr>
      </w:pPr>
      <w:r w:rsidRPr="00D67E5D">
        <w:rPr>
          <w:rFonts w:hint="eastAsia"/>
          <w:b/>
          <w:bCs/>
          <w:szCs w:val="21"/>
        </w:rPr>
        <w:t>媒体评价：</w:t>
      </w:r>
    </w:p>
    <w:p w:rsidR="00A30D90" w:rsidRPr="00D67E5D" w:rsidRDefault="00A30D90">
      <w:pPr>
        <w:rPr>
          <w:b/>
          <w:bCs/>
          <w:szCs w:val="21"/>
        </w:rPr>
      </w:pPr>
    </w:p>
    <w:p w:rsidR="009B3B32" w:rsidRPr="00D67E5D" w:rsidRDefault="009B3B32" w:rsidP="009B3B32">
      <w:pPr>
        <w:ind w:firstLineChars="200" w:firstLine="420"/>
        <w:rPr>
          <w:rFonts w:hint="eastAsia"/>
          <w:bCs/>
          <w:szCs w:val="21"/>
          <w:lang w:eastAsia="ja-JP"/>
        </w:rPr>
      </w:pPr>
      <w:r w:rsidRPr="00D67E5D">
        <w:rPr>
          <w:rFonts w:hint="eastAsia"/>
          <w:bCs/>
          <w:szCs w:val="21"/>
        </w:rPr>
        <w:t>“在无知哲学研究领域，皮尔斯堪称领军人物。这</w:t>
      </w:r>
      <w:proofErr w:type="gramStart"/>
      <w:r w:rsidRPr="00D67E5D">
        <w:rPr>
          <w:rFonts w:hint="eastAsia"/>
          <w:bCs/>
          <w:szCs w:val="21"/>
        </w:rPr>
        <w:t>部著</w:t>
      </w:r>
      <w:proofErr w:type="gramEnd"/>
      <w:r w:rsidRPr="00D67E5D">
        <w:rPr>
          <w:rFonts w:hint="eastAsia"/>
          <w:bCs/>
          <w:szCs w:val="21"/>
        </w:rPr>
        <w:t>作对该主题进行了全面且深入的探讨，必将成为未来相关研究的重要参照，是所有渴望理解‘无知’这一概念的读者的必读书目。</w:t>
      </w:r>
      <w:r w:rsidRPr="00D67E5D">
        <w:rPr>
          <w:rFonts w:hint="eastAsia"/>
          <w:bCs/>
          <w:szCs w:val="21"/>
          <w:lang w:eastAsia="ja-JP"/>
        </w:rPr>
        <w:t>”</w:t>
      </w:r>
    </w:p>
    <w:p w:rsidR="009B3B32" w:rsidRPr="00D67E5D" w:rsidRDefault="009B3B32" w:rsidP="00165D5E">
      <w:pPr>
        <w:ind w:firstLineChars="200" w:firstLine="420"/>
        <w:jc w:val="right"/>
        <w:rPr>
          <w:bCs/>
          <w:szCs w:val="21"/>
        </w:rPr>
      </w:pPr>
      <w:r w:rsidRPr="00D67E5D">
        <w:rPr>
          <w:rFonts w:hint="eastAsia"/>
          <w:bCs/>
          <w:szCs w:val="21"/>
        </w:rPr>
        <w:t>——</w:t>
      </w:r>
      <w:r w:rsidR="00165D5E" w:rsidRPr="00D67E5D">
        <w:rPr>
          <w:rFonts w:hint="eastAsia"/>
          <w:bCs/>
          <w:szCs w:val="21"/>
        </w:rPr>
        <w:t>邓肯·普里查德</w:t>
      </w:r>
      <w:r w:rsidR="00A60828">
        <w:rPr>
          <w:rFonts w:hint="eastAsia"/>
          <w:bCs/>
          <w:szCs w:val="21"/>
        </w:rPr>
        <w:t>（</w:t>
      </w:r>
      <w:r w:rsidR="007103EE" w:rsidRPr="007103EE">
        <w:rPr>
          <w:bCs/>
          <w:szCs w:val="21"/>
        </w:rPr>
        <w:t>Duncan Pritchard</w:t>
      </w:r>
      <w:r w:rsidR="00A60828">
        <w:rPr>
          <w:rFonts w:hint="eastAsia"/>
          <w:bCs/>
          <w:szCs w:val="21"/>
        </w:rPr>
        <w:t>）</w:t>
      </w:r>
      <w:r w:rsidRPr="00D67E5D">
        <w:rPr>
          <w:rFonts w:ascii="宋体" w:hAnsi="宋体" w:cs="宋体" w:hint="eastAsia"/>
          <w:bCs/>
          <w:szCs w:val="21"/>
        </w:rPr>
        <w:t>，加州大学欧文分校杰出哲学教授</w:t>
      </w:r>
    </w:p>
    <w:p w:rsidR="009B3B32" w:rsidRPr="00D67E5D" w:rsidRDefault="009B3B32" w:rsidP="009B3B32">
      <w:pPr>
        <w:ind w:firstLineChars="200" w:firstLine="420"/>
        <w:rPr>
          <w:bCs/>
          <w:szCs w:val="21"/>
        </w:rPr>
      </w:pPr>
    </w:p>
    <w:p w:rsidR="009B3B32" w:rsidRPr="00D67E5D" w:rsidRDefault="009B3B32" w:rsidP="009B3B32">
      <w:pPr>
        <w:ind w:firstLineChars="200" w:firstLine="420"/>
        <w:rPr>
          <w:rFonts w:hint="eastAsia"/>
          <w:bCs/>
          <w:szCs w:val="21"/>
          <w:lang w:eastAsia="ja-JP"/>
        </w:rPr>
      </w:pPr>
      <w:r w:rsidRPr="00D67E5D">
        <w:rPr>
          <w:rFonts w:hint="eastAsia"/>
          <w:bCs/>
          <w:szCs w:val="21"/>
        </w:rPr>
        <w:t>“本书构建了一套统一的无知认识论体系，为认识论这一蓬勃发展的领域</w:t>
      </w:r>
      <w:proofErr w:type="gramStart"/>
      <w:r w:rsidRPr="00D67E5D">
        <w:rPr>
          <w:rFonts w:hint="eastAsia"/>
          <w:bCs/>
          <w:szCs w:val="21"/>
        </w:rPr>
        <w:t>作出</w:t>
      </w:r>
      <w:proofErr w:type="gramEnd"/>
      <w:r w:rsidRPr="00D67E5D">
        <w:rPr>
          <w:rFonts w:hint="eastAsia"/>
          <w:bCs/>
          <w:szCs w:val="21"/>
        </w:rPr>
        <w:t>了重要贡献。它参与并推动了众多关键学术论争，使相关讨论迈向新的高度。</w:t>
      </w:r>
      <w:r w:rsidRPr="00D67E5D">
        <w:rPr>
          <w:rFonts w:hint="eastAsia"/>
          <w:bCs/>
          <w:szCs w:val="21"/>
          <w:lang w:eastAsia="ja-JP"/>
        </w:rPr>
        <w:t>”</w:t>
      </w:r>
    </w:p>
    <w:p w:rsidR="009B3B32" w:rsidRPr="00D67E5D" w:rsidRDefault="009B3B32" w:rsidP="00165D5E">
      <w:pPr>
        <w:ind w:firstLineChars="200" w:firstLine="420"/>
        <w:jc w:val="right"/>
        <w:rPr>
          <w:bCs/>
          <w:szCs w:val="21"/>
          <w:lang w:eastAsia="ja-JP"/>
        </w:rPr>
      </w:pPr>
      <w:r w:rsidRPr="00D67E5D">
        <w:rPr>
          <w:rFonts w:hint="eastAsia"/>
          <w:bCs/>
          <w:szCs w:val="21"/>
          <w:lang w:eastAsia="ja-JP"/>
        </w:rPr>
        <w:t>——萨德</w:t>
      </w:r>
      <w:r w:rsidRPr="00D67E5D">
        <w:rPr>
          <w:rFonts w:ascii="微软雅黑" w:eastAsia="微软雅黑" w:hAnsi="微软雅黑" w:cs="微软雅黑" w:hint="eastAsia"/>
          <w:bCs/>
          <w:szCs w:val="21"/>
          <w:lang w:eastAsia="ja-JP"/>
        </w:rPr>
        <w:t>・</w:t>
      </w:r>
      <w:r w:rsidRPr="00D67E5D">
        <w:rPr>
          <w:rFonts w:ascii="宋体" w:hAnsi="宋体" w:cs="宋体" w:hint="eastAsia"/>
          <w:bCs/>
          <w:szCs w:val="21"/>
          <w:lang w:eastAsia="ja-JP"/>
        </w:rPr>
        <w:t>霍尔米奥</w:t>
      </w:r>
      <w:r w:rsidR="007103EE">
        <w:rPr>
          <w:rFonts w:ascii="宋体" w:hAnsi="宋体" w:cs="宋体" w:hint="eastAsia"/>
          <w:bCs/>
          <w:szCs w:val="21"/>
        </w:rPr>
        <w:t>（</w:t>
      </w:r>
      <w:r w:rsidR="007103EE" w:rsidRPr="00AE61E6">
        <w:rPr>
          <w:bCs/>
          <w:szCs w:val="21"/>
        </w:rPr>
        <w:t xml:space="preserve">Säde </w:t>
      </w:r>
      <w:proofErr w:type="spellStart"/>
      <w:r w:rsidR="007103EE" w:rsidRPr="00AE61E6">
        <w:rPr>
          <w:bCs/>
          <w:szCs w:val="21"/>
        </w:rPr>
        <w:t>Hormio</w:t>
      </w:r>
      <w:proofErr w:type="spellEnd"/>
      <w:r w:rsidR="007103EE">
        <w:rPr>
          <w:rFonts w:ascii="宋体" w:hAnsi="宋体" w:cs="宋体" w:hint="eastAsia"/>
          <w:bCs/>
          <w:szCs w:val="21"/>
        </w:rPr>
        <w:t>）</w:t>
      </w:r>
    </w:p>
    <w:p w:rsidR="009B3B32" w:rsidRPr="00D67E5D" w:rsidRDefault="009B3B32" w:rsidP="009B3B32">
      <w:pPr>
        <w:ind w:firstLineChars="200" w:firstLine="420"/>
        <w:rPr>
          <w:bCs/>
          <w:szCs w:val="21"/>
          <w:lang w:eastAsia="ja-JP"/>
        </w:rPr>
      </w:pPr>
    </w:p>
    <w:p w:rsidR="009B3B32" w:rsidRPr="00D67E5D" w:rsidRDefault="009B3B32" w:rsidP="009B3B32">
      <w:pPr>
        <w:ind w:firstLineChars="200" w:firstLine="420"/>
        <w:rPr>
          <w:rFonts w:hint="eastAsia"/>
          <w:bCs/>
          <w:szCs w:val="21"/>
          <w:lang w:eastAsia="ja-JP"/>
        </w:rPr>
      </w:pPr>
      <w:r w:rsidRPr="00D67E5D">
        <w:rPr>
          <w:rFonts w:hint="eastAsia"/>
          <w:bCs/>
          <w:szCs w:val="21"/>
          <w:lang w:eastAsia="ja-JP"/>
        </w:rPr>
        <w:t>“本书亮点纷呈，是一部极具启发性、内容完备且研究极为深入的专著，探讨的主题紧扣学术前沿。</w:t>
      </w:r>
      <w:r w:rsidRPr="00D67E5D">
        <w:rPr>
          <w:rFonts w:hint="eastAsia"/>
          <w:bCs/>
          <w:szCs w:val="21"/>
        </w:rPr>
        <w:t>书中充满精妙论证，皮尔斯充分运用了他在认识论、道德哲学、政治哲学、语言哲学和神学等领域的渊博学识。</w:t>
      </w:r>
      <w:r w:rsidRPr="00D67E5D">
        <w:rPr>
          <w:rFonts w:hint="eastAsia"/>
          <w:bCs/>
          <w:szCs w:val="21"/>
          <w:lang w:eastAsia="ja-JP"/>
        </w:rPr>
        <w:t>这是一部针对广泛主题的开拓性研究著作。”</w:t>
      </w:r>
    </w:p>
    <w:p w:rsidR="009B3B32" w:rsidRPr="00D67E5D" w:rsidRDefault="009B3B32" w:rsidP="00165D5E">
      <w:pPr>
        <w:ind w:firstLineChars="200" w:firstLine="420"/>
        <w:jc w:val="right"/>
        <w:rPr>
          <w:bCs/>
          <w:szCs w:val="21"/>
          <w:lang w:eastAsia="ja-JP"/>
        </w:rPr>
      </w:pPr>
      <w:r w:rsidRPr="00D67E5D">
        <w:rPr>
          <w:rFonts w:hint="eastAsia"/>
          <w:bCs/>
          <w:szCs w:val="21"/>
          <w:lang w:eastAsia="ja-JP"/>
        </w:rPr>
        <w:t>——</w:t>
      </w:r>
      <w:r w:rsidR="00165D5E" w:rsidRPr="00D67E5D">
        <w:rPr>
          <w:rFonts w:hint="eastAsia"/>
          <w:bCs/>
          <w:szCs w:val="21"/>
          <w:lang w:eastAsia="ja-JP"/>
        </w:rPr>
        <w:t>尼古拉</w:t>
      </w:r>
      <w:r w:rsidR="00165D5E" w:rsidRPr="00D67E5D">
        <w:rPr>
          <w:rFonts w:ascii="微软雅黑" w:eastAsia="微软雅黑" w:hAnsi="微软雅黑" w:cs="微软雅黑" w:hint="eastAsia"/>
          <w:bCs/>
          <w:szCs w:val="21"/>
          <w:lang w:eastAsia="ja-JP"/>
        </w:rPr>
        <w:t>・</w:t>
      </w:r>
      <w:r w:rsidR="00165D5E" w:rsidRPr="00D67E5D">
        <w:rPr>
          <w:rFonts w:ascii="宋体" w:hAnsi="宋体" w:cs="宋体" w:hint="eastAsia"/>
          <w:bCs/>
          <w:szCs w:val="21"/>
          <w:lang w:eastAsia="ja-JP"/>
        </w:rPr>
        <w:t>诺特尔曼</w:t>
      </w:r>
      <w:r w:rsidR="007103EE">
        <w:rPr>
          <w:rFonts w:ascii="宋体" w:hAnsi="宋体" w:cs="宋体" w:hint="eastAsia"/>
          <w:bCs/>
          <w:szCs w:val="21"/>
        </w:rPr>
        <w:t>（</w:t>
      </w:r>
      <w:r w:rsidR="007103EE" w:rsidRPr="00AE61E6">
        <w:rPr>
          <w:bCs/>
          <w:szCs w:val="21"/>
        </w:rPr>
        <w:t>Nikolaj Nottelmann</w:t>
      </w:r>
      <w:r w:rsidR="007103EE">
        <w:rPr>
          <w:rFonts w:ascii="宋体" w:hAnsi="宋体" w:cs="宋体" w:hint="eastAsia"/>
          <w:bCs/>
          <w:szCs w:val="21"/>
        </w:rPr>
        <w:t>）</w:t>
      </w:r>
      <w:r w:rsidRPr="00D67E5D">
        <w:rPr>
          <w:rFonts w:ascii="宋体" w:hAnsi="宋体" w:cs="宋体" w:hint="eastAsia"/>
          <w:bCs/>
          <w:szCs w:val="21"/>
          <w:lang w:eastAsia="ja-JP"/>
        </w:rPr>
        <w:t>，南丹麦大学文化研究系副教授</w:t>
      </w:r>
    </w:p>
    <w:p w:rsidR="009B3B32" w:rsidRPr="00D67E5D" w:rsidRDefault="009B3B32" w:rsidP="009B3B32">
      <w:pPr>
        <w:ind w:firstLineChars="200" w:firstLine="420"/>
        <w:rPr>
          <w:bCs/>
          <w:szCs w:val="21"/>
          <w:lang w:eastAsia="ja-JP"/>
        </w:rPr>
      </w:pPr>
    </w:p>
    <w:p w:rsidR="009B3B32" w:rsidRPr="00D67E5D" w:rsidRDefault="009B3B32" w:rsidP="009B3B32">
      <w:pPr>
        <w:ind w:firstLineChars="200" w:firstLine="420"/>
        <w:rPr>
          <w:rFonts w:hint="eastAsia"/>
          <w:bCs/>
          <w:szCs w:val="21"/>
        </w:rPr>
      </w:pPr>
      <w:r w:rsidRPr="00D67E5D">
        <w:rPr>
          <w:rFonts w:hint="eastAsia"/>
          <w:bCs/>
          <w:szCs w:val="21"/>
        </w:rPr>
        <w:t>“对于从事无知哲学研究的人士而言，本书堪称无价之宝，强烈推荐，适合从本科低年级学生到高校教师在内的广大读者。”</w:t>
      </w:r>
    </w:p>
    <w:p w:rsidR="009B3B32" w:rsidRPr="00D67E5D" w:rsidRDefault="009B3B32" w:rsidP="00165D5E">
      <w:pPr>
        <w:ind w:firstLineChars="200" w:firstLine="420"/>
        <w:jc w:val="right"/>
        <w:rPr>
          <w:bCs/>
          <w:szCs w:val="21"/>
        </w:rPr>
      </w:pPr>
      <w:r w:rsidRPr="00D67E5D">
        <w:rPr>
          <w:rFonts w:hint="eastAsia"/>
          <w:bCs/>
          <w:szCs w:val="21"/>
        </w:rPr>
        <w:t>——《选择》期刊</w:t>
      </w:r>
      <w:r w:rsidR="007103EE">
        <w:rPr>
          <w:rFonts w:hint="eastAsia"/>
          <w:bCs/>
          <w:szCs w:val="21"/>
        </w:rPr>
        <w:t>（</w:t>
      </w:r>
      <w:r w:rsidR="007103EE" w:rsidRPr="00AE61E6">
        <w:rPr>
          <w:bCs/>
          <w:i/>
          <w:iCs/>
          <w:szCs w:val="21"/>
        </w:rPr>
        <w:t>Choice</w:t>
      </w:r>
      <w:r w:rsidR="007103EE">
        <w:rPr>
          <w:rFonts w:hint="eastAsia"/>
          <w:bCs/>
          <w:szCs w:val="21"/>
        </w:rPr>
        <w:t>）</w:t>
      </w:r>
    </w:p>
    <w:p w:rsidR="005E12F1" w:rsidRDefault="005E12F1" w:rsidP="003955C5">
      <w:pPr>
        <w:rPr>
          <w:bCs/>
          <w:color w:val="FF0000"/>
          <w:szCs w:val="21"/>
        </w:rPr>
      </w:pPr>
    </w:p>
    <w:p w:rsidR="00AE61E6" w:rsidRPr="003D0A46" w:rsidRDefault="00AE61E6" w:rsidP="003955C5">
      <w:pPr>
        <w:rPr>
          <w:rFonts w:hint="eastAsia"/>
          <w:bCs/>
          <w:color w:val="FF0000"/>
          <w:szCs w:val="21"/>
        </w:rPr>
      </w:pPr>
    </w:p>
    <w:p w:rsidR="00A30D90" w:rsidRPr="009B3B32" w:rsidRDefault="00A30D90">
      <w:pPr>
        <w:rPr>
          <w:b/>
          <w:bCs/>
          <w:szCs w:val="21"/>
        </w:rPr>
      </w:pPr>
      <w:r w:rsidRPr="009B3B32">
        <w:rPr>
          <w:rFonts w:hint="eastAsia"/>
          <w:b/>
          <w:bCs/>
          <w:szCs w:val="21"/>
        </w:rPr>
        <w:t>全书目录：</w:t>
      </w:r>
    </w:p>
    <w:p w:rsidR="009B3B32" w:rsidRPr="009B3B32" w:rsidRDefault="009B3B32" w:rsidP="009B3B32">
      <w:pPr>
        <w:rPr>
          <w:b/>
          <w:szCs w:val="21"/>
        </w:rPr>
      </w:pP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目录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致谢</w:t>
      </w:r>
    </w:p>
    <w:p w:rsidR="00482D37" w:rsidRDefault="009B3B32" w:rsidP="009B3B32">
      <w:pPr>
        <w:rPr>
          <w:bCs/>
          <w:szCs w:val="21"/>
        </w:rPr>
      </w:pPr>
      <w:r w:rsidRPr="009B3B32">
        <w:rPr>
          <w:rFonts w:hint="eastAsia"/>
          <w:bCs/>
          <w:szCs w:val="21"/>
        </w:rPr>
        <w:lastRenderedPageBreak/>
        <w:t>图表目录</w:t>
      </w:r>
    </w:p>
    <w:p w:rsidR="00AE61E6" w:rsidRDefault="00AE61E6" w:rsidP="009B3B32">
      <w:pPr>
        <w:rPr>
          <w:bCs/>
          <w:szCs w:val="21"/>
        </w:rPr>
      </w:pPr>
    </w:p>
    <w:p w:rsidR="009B3B32" w:rsidRPr="00482D37" w:rsidRDefault="009B3B32" w:rsidP="009B3B32">
      <w:pPr>
        <w:rPr>
          <w:rFonts w:hint="eastAsia"/>
          <w:bCs/>
          <w:szCs w:val="21"/>
        </w:rPr>
      </w:pPr>
      <w:r w:rsidRPr="00482D37">
        <w:rPr>
          <w:rFonts w:hint="eastAsia"/>
          <w:bCs/>
          <w:szCs w:val="21"/>
        </w:rPr>
        <w:t>第一章</w:t>
      </w:r>
      <w:r w:rsidRPr="00482D37">
        <w:rPr>
          <w:rFonts w:hint="eastAsia"/>
          <w:bCs/>
          <w:szCs w:val="21"/>
        </w:rPr>
        <w:t xml:space="preserve"> </w:t>
      </w:r>
      <w:r w:rsidRPr="00482D37">
        <w:rPr>
          <w:rFonts w:hint="eastAsia"/>
          <w:bCs/>
          <w:szCs w:val="21"/>
        </w:rPr>
        <w:t>导论：我们亟需深化对无知的认知</w:t>
      </w:r>
    </w:p>
    <w:p w:rsidR="00A60828" w:rsidRPr="009B3B32" w:rsidRDefault="00A60828" w:rsidP="009B3B32">
      <w:pPr>
        <w:rPr>
          <w:rFonts w:hint="eastAsia"/>
          <w:bCs/>
          <w:szCs w:val="21"/>
        </w:rPr>
      </w:pPr>
    </w:p>
    <w:p w:rsidR="00A60828" w:rsidRPr="005E12F1" w:rsidRDefault="00A60828" w:rsidP="009B3B32">
      <w:pPr>
        <w:rPr>
          <w:rFonts w:hint="eastAsia"/>
          <w:b/>
          <w:szCs w:val="21"/>
        </w:rPr>
      </w:pPr>
      <w:r w:rsidRPr="00A60828">
        <w:rPr>
          <w:rFonts w:hint="eastAsia"/>
          <w:b/>
          <w:szCs w:val="21"/>
        </w:rPr>
        <w:t>第一部分</w:t>
      </w:r>
      <w:r w:rsidRPr="00A60828">
        <w:rPr>
          <w:rFonts w:hint="eastAsia"/>
          <w:b/>
          <w:szCs w:val="21"/>
        </w:rPr>
        <w:t xml:space="preserve"> </w:t>
      </w:r>
      <w:r w:rsidRPr="00A60828">
        <w:rPr>
          <w:rFonts w:hint="eastAsia"/>
          <w:b/>
          <w:szCs w:val="21"/>
        </w:rPr>
        <w:t>无知认识论</w:t>
      </w:r>
    </w:p>
    <w:p w:rsidR="009B3B32" w:rsidRPr="006F45F3" w:rsidRDefault="009B3B32" w:rsidP="009B3B32">
      <w:pPr>
        <w:rPr>
          <w:rFonts w:hint="eastAsia"/>
          <w:bCs/>
          <w:szCs w:val="21"/>
        </w:rPr>
      </w:pPr>
      <w:r w:rsidRPr="00482D37">
        <w:rPr>
          <w:rFonts w:hint="eastAsia"/>
          <w:bCs/>
          <w:szCs w:val="21"/>
        </w:rPr>
        <w:t>第二章</w:t>
      </w:r>
      <w:r w:rsidRPr="00482D37">
        <w:rPr>
          <w:rFonts w:hint="eastAsia"/>
          <w:bCs/>
          <w:szCs w:val="21"/>
        </w:rPr>
        <w:t xml:space="preserve"> </w:t>
      </w:r>
      <w:r w:rsidRPr="00482D37">
        <w:rPr>
          <w:rFonts w:hint="eastAsia"/>
          <w:bCs/>
          <w:szCs w:val="21"/>
        </w:rPr>
        <w:t>无知的类型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第三章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命题性无知的本质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第四章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命题性无知的多种形态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第五章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群体无知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第六章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无知的程度差异</w:t>
      </w:r>
    </w:p>
    <w:p w:rsidR="00AE61E6" w:rsidRPr="00AE61E6" w:rsidRDefault="00AE61E6" w:rsidP="009B3B32">
      <w:pPr>
        <w:rPr>
          <w:b/>
          <w:szCs w:val="21"/>
        </w:rPr>
      </w:pPr>
    </w:p>
    <w:p w:rsidR="00A60828" w:rsidRPr="005E12F1" w:rsidRDefault="00A60828" w:rsidP="009B3B32">
      <w:pPr>
        <w:rPr>
          <w:rFonts w:hint="eastAsia"/>
          <w:b/>
          <w:szCs w:val="21"/>
        </w:rPr>
      </w:pPr>
      <w:r w:rsidRPr="00A60828">
        <w:rPr>
          <w:rFonts w:hint="eastAsia"/>
          <w:b/>
          <w:szCs w:val="21"/>
        </w:rPr>
        <w:t>第二部分</w:t>
      </w:r>
      <w:r w:rsidRPr="00A60828">
        <w:rPr>
          <w:rFonts w:hint="eastAsia"/>
          <w:b/>
          <w:szCs w:val="21"/>
        </w:rPr>
        <w:t xml:space="preserve"> </w:t>
      </w:r>
      <w:r w:rsidRPr="00A60828">
        <w:rPr>
          <w:rFonts w:hint="eastAsia"/>
          <w:b/>
          <w:szCs w:val="21"/>
        </w:rPr>
        <w:t>无知认识论的实践应用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第七章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策略性无知</w:t>
      </w:r>
      <w:bookmarkStart w:id="2" w:name="_GoBack"/>
      <w:bookmarkEnd w:id="2"/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第八章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白人无知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第九章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教育领域中的无知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第十章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可作为免责理由的无知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第十一章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应受谴责的无知之根源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第十二章</w:t>
      </w:r>
      <w:r w:rsidRPr="009B3B32">
        <w:rPr>
          <w:rFonts w:hint="eastAsia"/>
          <w:bCs/>
          <w:szCs w:val="21"/>
        </w:rPr>
        <w:t xml:space="preserve"> </w:t>
      </w:r>
      <w:r w:rsidRPr="009B3B32">
        <w:rPr>
          <w:rFonts w:hint="eastAsia"/>
          <w:bCs/>
          <w:szCs w:val="21"/>
        </w:rPr>
        <w:t>对无知的宣称</w:t>
      </w:r>
    </w:p>
    <w:p w:rsidR="00A60828" w:rsidRDefault="00A60828" w:rsidP="009B3B32">
      <w:pPr>
        <w:rPr>
          <w:bCs/>
          <w:szCs w:val="21"/>
        </w:rPr>
      </w:pP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结语</w:t>
      </w:r>
    </w:p>
    <w:p w:rsidR="009B3B32" w:rsidRPr="009B3B32" w:rsidRDefault="009B3B32" w:rsidP="009B3B32">
      <w:pPr>
        <w:rPr>
          <w:rFonts w:hint="eastAsia"/>
          <w:bCs/>
          <w:szCs w:val="21"/>
        </w:rPr>
      </w:pPr>
      <w:r w:rsidRPr="009B3B32">
        <w:rPr>
          <w:rFonts w:hint="eastAsia"/>
          <w:bCs/>
          <w:szCs w:val="21"/>
        </w:rPr>
        <w:t>参考文献</w:t>
      </w:r>
    </w:p>
    <w:p w:rsidR="00A30D90" w:rsidRPr="009B3B32" w:rsidRDefault="009B3B32" w:rsidP="009B3B32">
      <w:pPr>
        <w:rPr>
          <w:bCs/>
          <w:szCs w:val="21"/>
        </w:rPr>
      </w:pPr>
      <w:r w:rsidRPr="009B3B32">
        <w:rPr>
          <w:rFonts w:hint="eastAsia"/>
          <w:bCs/>
          <w:szCs w:val="21"/>
        </w:rPr>
        <w:t>索引</w:t>
      </w:r>
    </w:p>
    <w:p w:rsidR="009B3B32" w:rsidRDefault="009B3B32" w:rsidP="009B3B32">
      <w:pPr>
        <w:rPr>
          <w:b/>
          <w:color w:val="FF0000"/>
          <w:szCs w:val="21"/>
        </w:rPr>
      </w:pPr>
    </w:p>
    <w:p w:rsidR="00D67E5D" w:rsidRPr="009B3B32" w:rsidRDefault="00D67E5D">
      <w:pPr>
        <w:ind w:right="420"/>
        <w:rPr>
          <w:rFonts w:hint="eastAsia"/>
          <w:b/>
          <w:bCs/>
          <w:szCs w:val="21"/>
        </w:rPr>
      </w:pPr>
    </w:p>
    <w:p w:rsidR="00A30D90" w:rsidRPr="009B3B32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9B3B32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9B3B32" w:rsidRDefault="00A30D90">
      <w:pPr>
        <w:shd w:val="clear" w:color="auto" w:fill="FFFFFF"/>
        <w:rPr>
          <w:rFonts w:ascii="Verdana" w:hAnsi="Verdana" w:cs="Verdana"/>
        </w:rPr>
      </w:pPr>
      <w:r w:rsidRPr="009B3B32">
        <w:rPr>
          <w:rFonts w:ascii="Arial Unicode MS" w:hAnsi="Arial Unicode MS" w:cs="Verdana" w:hint="eastAsia"/>
          <w:b/>
          <w:bCs/>
        </w:rPr>
        <w:t>请将反馈信息发至：</w:t>
      </w:r>
      <w:r w:rsidRPr="009B3B32">
        <w:rPr>
          <w:rFonts w:ascii="宋体" w:hAnsi="宋体" w:cs="宋体" w:hint="eastAsia"/>
          <w:b/>
          <w:bCs/>
        </w:rPr>
        <w:t>版权负责人</w:t>
      </w:r>
    </w:p>
    <w:p w:rsidR="00A30D90" w:rsidRPr="009B3B32" w:rsidRDefault="00A30D90">
      <w:pPr>
        <w:shd w:val="clear" w:color="auto" w:fill="FFFFFF"/>
      </w:pPr>
      <w:r w:rsidRPr="009B3B32">
        <w:rPr>
          <w:b/>
          <w:bCs/>
        </w:rPr>
        <w:t>Email</w:t>
      </w:r>
      <w:r w:rsidRPr="009B3B32">
        <w:t>：</w:t>
      </w:r>
      <w:hyperlink r:id="rId10" w:history="1">
        <w:r w:rsidRPr="009B3B32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9B3B32" w:rsidRDefault="00A30D90">
      <w:pPr>
        <w:shd w:val="clear" w:color="auto" w:fill="FFFFFF"/>
      </w:pPr>
      <w:r w:rsidRPr="009B3B32">
        <w:t>安德鲁</w:t>
      </w:r>
      <w:r w:rsidRPr="009B3B32">
        <w:t>·</w:t>
      </w:r>
      <w:r w:rsidRPr="009B3B32">
        <w:t>纳伯格联合国际有限公司北京代表处</w:t>
      </w:r>
    </w:p>
    <w:p w:rsidR="00A30D90" w:rsidRPr="009B3B32" w:rsidRDefault="00A30D90">
      <w:pPr>
        <w:shd w:val="clear" w:color="auto" w:fill="FFFFFF"/>
      </w:pPr>
      <w:r w:rsidRPr="009B3B32">
        <w:t>北京市海淀区中关村大街甲</w:t>
      </w:r>
      <w:r w:rsidRPr="009B3B32">
        <w:t>59</w:t>
      </w:r>
      <w:r w:rsidRPr="009B3B32">
        <w:t>号中国人民大学文化大厦</w:t>
      </w:r>
      <w:r w:rsidRPr="009B3B32">
        <w:t>1705</w:t>
      </w:r>
      <w:r w:rsidRPr="009B3B32">
        <w:t>室</w:t>
      </w:r>
      <w:r w:rsidRPr="009B3B32">
        <w:t>, </w:t>
      </w:r>
      <w:r w:rsidRPr="009B3B32">
        <w:t>邮编：</w:t>
      </w:r>
      <w:r w:rsidRPr="009B3B32">
        <w:t>100872</w:t>
      </w:r>
    </w:p>
    <w:p w:rsidR="00A30D90" w:rsidRPr="009B3B32" w:rsidRDefault="00A30D90">
      <w:pPr>
        <w:shd w:val="clear" w:color="auto" w:fill="FFFFFF"/>
      </w:pPr>
      <w:r w:rsidRPr="009B3B32">
        <w:t>电话：</w:t>
      </w:r>
      <w:r w:rsidRPr="009B3B32">
        <w:t>010-82504106, </w:t>
      </w:r>
      <w:r w:rsidRPr="009B3B32">
        <w:t>传真：</w:t>
      </w:r>
      <w:r w:rsidRPr="009B3B32">
        <w:t>010-82504200</w:t>
      </w:r>
    </w:p>
    <w:p w:rsidR="00A30D90" w:rsidRPr="009B3B32" w:rsidRDefault="00A30D90">
      <w:pPr>
        <w:shd w:val="clear" w:color="auto" w:fill="FFFFFF"/>
      </w:pPr>
      <w:r w:rsidRPr="009B3B32">
        <w:t>公司网址：</w:t>
      </w:r>
      <w:hyperlink r:id="rId11" w:history="1">
        <w:r w:rsidRPr="009B3B32">
          <w:rPr>
            <w:rStyle w:val="a9"/>
            <w:color w:val="auto"/>
          </w:rPr>
          <w:t>http://www.nurnberg.com.cn</w:t>
        </w:r>
      </w:hyperlink>
    </w:p>
    <w:p w:rsidR="00A30D90" w:rsidRPr="009B3B32" w:rsidRDefault="00A30D90">
      <w:pPr>
        <w:shd w:val="clear" w:color="auto" w:fill="FFFFFF"/>
      </w:pPr>
      <w:r w:rsidRPr="009B3B32">
        <w:t>书目下载：</w:t>
      </w:r>
      <w:hyperlink r:id="rId12" w:history="1">
        <w:r w:rsidRPr="009B3B32">
          <w:rPr>
            <w:rStyle w:val="a9"/>
            <w:color w:val="auto"/>
          </w:rPr>
          <w:t>http://www.nurnberg.com.cn/booklist_zh/list.aspx</w:t>
        </w:r>
      </w:hyperlink>
    </w:p>
    <w:p w:rsidR="00A30D90" w:rsidRPr="009B3B32" w:rsidRDefault="00A30D90">
      <w:pPr>
        <w:shd w:val="clear" w:color="auto" w:fill="FFFFFF"/>
      </w:pPr>
      <w:r w:rsidRPr="009B3B32">
        <w:t>书讯浏览：</w:t>
      </w:r>
      <w:hyperlink r:id="rId13" w:history="1">
        <w:r w:rsidRPr="009B3B32">
          <w:rPr>
            <w:rStyle w:val="a9"/>
            <w:color w:val="auto"/>
          </w:rPr>
          <w:t>http://www.nurnberg.com.cn/book/book.aspx</w:t>
        </w:r>
      </w:hyperlink>
    </w:p>
    <w:p w:rsidR="00A30D90" w:rsidRPr="009B3B32" w:rsidRDefault="00A30D90">
      <w:pPr>
        <w:shd w:val="clear" w:color="auto" w:fill="FFFFFF"/>
      </w:pPr>
      <w:r w:rsidRPr="009B3B32">
        <w:t>视频推荐：</w:t>
      </w:r>
      <w:hyperlink r:id="rId14" w:history="1">
        <w:r w:rsidRPr="009B3B32">
          <w:rPr>
            <w:rStyle w:val="a9"/>
            <w:color w:val="auto"/>
          </w:rPr>
          <w:t>http://www.nurnberg.com.cn/video/video.aspx</w:t>
        </w:r>
      </w:hyperlink>
    </w:p>
    <w:p w:rsidR="00A30D90" w:rsidRPr="009B3B32" w:rsidRDefault="00A30D90">
      <w:pPr>
        <w:shd w:val="clear" w:color="auto" w:fill="FFFFFF"/>
      </w:pPr>
      <w:r w:rsidRPr="009B3B32">
        <w:t>豆瓣小站：</w:t>
      </w:r>
      <w:hyperlink r:id="rId15" w:history="1">
        <w:r w:rsidRPr="009B3B32">
          <w:rPr>
            <w:rStyle w:val="a9"/>
            <w:color w:val="auto"/>
          </w:rPr>
          <w:t>http://site.douban.com/110577/</w:t>
        </w:r>
      </w:hyperlink>
    </w:p>
    <w:p w:rsidR="00A30D90" w:rsidRPr="009B3B32" w:rsidRDefault="00A30D90">
      <w:pPr>
        <w:shd w:val="clear" w:color="auto" w:fill="FFFFFF"/>
      </w:pPr>
      <w:proofErr w:type="gramStart"/>
      <w:r w:rsidRPr="009B3B32">
        <w:rPr>
          <w:shd w:val="clear" w:color="auto" w:fill="FFFFFF"/>
        </w:rPr>
        <w:t>新浪微博</w:t>
      </w:r>
      <w:proofErr w:type="gramEnd"/>
      <w:r w:rsidRPr="009B3B32">
        <w:rPr>
          <w:shd w:val="clear" w:color="auto" w:fill="FFFFFF"/>
        </w:rPr>
        <w:t>：</w:t>
      </w:r>
      <w:hyperlink r:id="rId16" w:history="1">
        <w:r w:rsidRPr="009B3B32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9B3B32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9B3B32">
          <w:rPr>
            <w:rStyle w:val="a9"/>
            <w:color w:val="auto"/>
            <w:shd w:val="clear" w:color="auto" w:fill="FFFFFF"/>
          </w:rPr>
          <w:t>_</w:t>
        </w:r>
        <w:r w:rsidRPr="009B3B32">
          <w:rPr>
            <w:rStyle w:val="a9"/>
            <w:color w:val="auto"/>
            <w:shd w:val="clear" w:color="auto" w:fill="FFFFFF"/>
          </w:rPr>
          <w:t>微博</w:t>
        </w:r>
        <w:r w:rsidRPr="009B3B32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9B3B32" w:rsidRDefault="00A30D90">
      <w:pPr>
        <w:shd w:val="clear" w:color="auto" w:fill="FFFFFF"/>
      </w:pPr>
      <w:proofErr w:type="gramStart"/>
      <w:r w:rsidRPr="009B3B32">
        <w:t>微信订阅</w:t>
      </w:r>
      <w:proofErr w:type="gramEnd"/>
      <w:r w:rsidRPr="009B3B32">
        <w:t>号：</w:t>
      </w:r>
      <w:r w:rsidRPr="009B3B32">
        <w:t>ANABJ2002</w:t>
      </w:r>
    </w:p>
    <w:p w:rsidR="00A30D90" w:rsidRPr="009B3B32" w:rsidRDefault="00852AEB">
      <w:pPr>
        <w:widowControl/>
        <w:jc w:val="left"/>
        <w:rPr>
          <w:rFonts w:ascii="@宋体" w:hAnsi="@宋体" w:cs="@宋体"/>
        </w:rPr>
      </w:pPr>
      <w:r w:rsidRPr="009B3B32">
        <w:rPr>
          <w:rFonts w:ascii="@宋体" w:hAnsi="@宋体" w:cs="@宋体"/>
          <w:noProof/>
        </w:rPr>
        <w:lastRenderedPageBreak/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9B3B32" w:rsidRDefault="00A30D90">
      <w:pPr>
        <w:widowControl/>
        <w:jc w:val="left"/>
        <w:rPr>
          <w:rFonts w:hint="eastAsia"/>
        </w:rPr>
      </w:pPr>
    </w:p>
    <w:sectPr w:rsidR="00A30D90" w:rsidRPr="009B3B3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75" w:rsidRDefault="00971775">
      <w:r>
        <w:separator/>
      </w:r>
    </w:p>
  </w:endnote>
  <w:endnote w:type="continuationSeparator" w:id="0">
    <w:p w:rsidR="00971775" w:rsidRDefault="009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E61E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75" w:rsidRDefault="00971775">
      <w:r>
        <w:separator/>
      </w:r>
    </w:p>
  </w:footnote>
  <w:footnote w:type="continuationSeparator" w:id="0">
    <w:p w:rsidR="00971775" w:rsidRDefault="0097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852AE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82D37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12F1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2AEB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71775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AE61E6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FB1B5-DE56-41CA-912B-E32A937F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393D-A87E-40ED-891E-3551D34F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1184</Words>
  <Characters>1458</Characters>
  <Application>Microsoft Office Word</Application>
  <DocSecurity>0</DocSecurity>
  <Lines>104</Lines>
  <Paragraphs>110</Paragraphs>
  <ScaleCrop>false</ScaleCrop>
  <Company>2ndSpAcE</Company>
  <LinksUpToDate>false</LinksUpToDate>
  <CharactersWithSpaces>2532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2025-07-03T05:43:00Z</dcterms:created>
  <dcterms:modified xsi:type="dcterms:W3CDTF">2025-07-03T05:47:00Z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