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b/>
          <w:bCs/>
          <w:color w:val="000000"/>
          <w:szCs w:val="21"/>
          <w:highlight w:val="none"/>
        </w:rPr>
        <w:drawing>
          <wp:anchor distT="0" distB="0" distL="114300" distR="114300" simplePos="0" relativeHeight="251659264" behindDoc="0" locked="0" layoutInCell="1" allowOverlap="1">
            <wp:simplePos x="0" y="0"/>
            <wp:positionH relativeFrom="column">
              <wp:posOffset>3878580</wp:posOffset>
            </wp:positionH>
            <wp:positionV relativeFrom="paragraph">
              <wp:posOffset>60960</wp:posOffset>
            </wp:positionV>
            <wp:extent cx="1439545" cy="2150745"/>
            <wp:effectExtent l="0" t="0" r="8255" b="13335"/>
            <wp:wrapSquare wrapText="bothSides"/>
            <wp:docPr id="4" name="图片 4" descr="978059385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780593855195"/>
                    <pic:cNvPicPr>
                      <a:picLocks noChangeAspect="1"/>
                    </pic:cNvPicPr>
                  </pic:nvPicPr>
                  <pic:blipFill>
                    <a:blip r:embed="rId6"/>
                    <a:stretch>
                      <a:fillRect/>
                    </a:stretch>
                  </pic:blipFill>
                  <pic:spPr>
                    <a:xfrm>
                      <a:off x="0" y="0"/>
                      <a:ext cx="1439545" cy="2150745"/>
                    </a:xfrm>
                    <a:prstGeom prst="rect">
                      <a:avLst/>
                    </a:prstGeom>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《更年期肠道革命：重塑菌群平衡，焕发中年健康》</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val="0"/>
          <w:iCs/>
          <w:color w:val="000000"/>
          <w:szCs w:val="21"/>
          <w:highlight w:val="none"/>
        </w:rPr>
        <w:t>THE MENOPAUSE GUT</w:t>
      </w:r>
      <w:r>
        <w:rPr>
          <w:rFonts w:hint="eastAsia"/>
          <w:b/>
          <w:bCs/>
          <w:i w:val="0"/>
          <w:iCs/>
          <w:color w:val="000000"/>
          <w:szCs w:val="21"/>
          <w:highlight w:val="none"/>
          <w:lang w:val="en-US" w:eastAsia="zh-CN"/>
        </w:rPr>
        <w:t>:</w:t>
      </w:r>
      <w:r>
        <w:rPr>
          <w:rFonts w:hint="eastAsia"/>
          <w:b/>
          <w:bCs/>
          <w:i/>
          <w:color w:val="000000"/>
          <w:szCs w:val="21"/>
          <w:highlight w:val="none"/>
        </w:rPr>
        <w:t xml:space="preserve"> Balance Your Microbiome to Reclaim Your Health in Midlife and Beyond</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Cynthia Thurlow, NP</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Penguin USA, Avery</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272</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26</w:t>
      </w:r>
      <w:r>
        <w:rPr>
          <w:b/>
          <w:bCs/>
          <w:color w:val="000000"/>
          <w:szCs w:val="21"/>
          <w:highlight w:val="none"/>
        </w:rPr>
        <w:t>年</w:t>
      </w:r>
      <w:r>
        <w:rPr>
          <w:rFonts w:hint="eastAsia"/>
          <w:b/>
          <w:bCs/>
          <w:color w:val="000000"/>
          <w:szCs w:val="21"/>
          <w:highlight w:val="none"/>
          <w:lang w:val="en-US" w:eastAsia="zh-CN"/>
        </w:rPr>
        <w:t>4</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保健</w:t>
      </w:r>
    </w:p>
    <w:p w14:paraId="3094D38F">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1BB3253B">
      <w:pPr>
        <w:ind w:firstLine="420" w:firstLineChars="200"/>
        <w:rPr>
          <w:rFonts w:hint="eastAsia"/>
          <w:bCs/>
          <w:kern w:val="0"/>
          <w:szCs w:val="21"/>
        </w:rPr>
      </w:pPr>
      <w:r>
        <w:rPr>
          <w:rFonts w:hint="eastAsia"/>
          <w:bCs/>
          <w:kern w:val="0"/>
          <w:szCs w:val="21"/>
        </w:rPr>
        <w:t>关于更年期的讨论终于开始聚焦于如何帮助女性顺利度过这一转变期，并缓解其症状。但正如护士执业医师兼女性健康倡导者辛西娅·瑟洛（Cynthia Thurlow）在这本颠覆性的著作中所指出的，现有医学对处于这一人生阶段的女性所提供的建议，忽略了一个至关重要的环节：我们肠道与健康之间在衰老过程中的强大联系。</w:t>
      </w:r>
    </w:p>
    <w:p w14:paraId="60E5EF14">
      <w:pPr>
        <w:rPr>
          <w:rFonts w:hint="eastAsia"/>
          <w:bCs/>
          <w:kern w:val="0"/>
          <w:szCs w:val="21"/>
        </w:rPr>
      </w:pPr>
    </w:p>
    <w:p w14:paraId="1816397B">
      <w:pPr>
        <w:ind w:firstLine="420" w:firstLineChars="200"/>
        <w:rPr>
          <w:rFonts w:hint="eastAsia"/>
          <w:bCs/>
          <w:kern w:val="0"/>
          <w:szCs w:val="21"/>
        </w:rPr>
      </w:pPr>
      <w:r>
        <w:rPr>
          <w:rFonts w:hint="eastAsia"/>
          <w:bCs/>
          <w:kern w:val="0"/>
          <w:szCs w:val="21"/>
        </w:rPr>
        <w:t>在《更年期肠道</w:t>
      </w:r>
      <w:r>
        <w:rPr>
          <w:rFonts w:hint="eastAsia"/>
          <w:bCs/>
          <w:kern w:val="0"/>
          <w:szCs w:val="21"/>
          <w:lang w:val="en-US" w:eastAsia="zh-CN"/>
        </w:rPr>
        <w:t>革命</w:t>
      </w:r>
      <w:r>
        <w:rPr>
          <w:rFonts w:hint="eastAsia"/>
          <w:bCs/>
          <w:kern w:val="0"/>
          <w:szCs w:val="21"/>
        </w:rPr>
        <w:t>》一书中，辛西娅解释道，女性的肠道微生物群组成会随着年龄发生变化，并在40岁左右达到巅峰。最前沿的研究显示，雌激素与孕激素水平和肠道微生物之间存在双向关系。随着激素水平的波动，女性将更容易受到炎症的影响，而这会波及免疫功能、新陈代谢、情绪、认知、骨骼健康等多个方面。但我们可以通过一些简单的步骤来恢复肠道健康，从而重建整体健康状态。辛西娅将引导读者学会如何：</w:t>
      </w:r>
    </w:p>
    <w:p w14:paraId="42757B60">
      <w:pPr>
        <w:rPr>
          <w:rFonts w:hint="eastAsia"/>
          <w:bCs/>
          <w:kern w:val="0"/>
          <w:szCs w:val="21"/>
        </w:rPr>
      </w:pPr>
    </w:p>
    <w:p w14:paraId="5B778D33">
      <w:pPr>
        <w:numPr>
          <w:ilvl w:val="0"/>
          <w:numId w:val="2"/>
        </w:numPr>
        <w:ind w:left="840" w:leftChars="0" w:hanging="420" w:firstLineChars="0"/>
        <w:rPr>
          <w:rFonts w:hint="eastAsia"/>
          <w:bCs/>
          <w:kern w:val="0"/>
          <w:szCs w:val="21"/>
        </w:rPr>
      </w:pPr>
      <w:r>
        <w:rPr>
          <w:rFonts w:hint="eastAsia"/>
          <w:bCs/>
          <w:kern w:val="0"/>
          <w:szCs w:val="21"/>
        </w:rPr>
        <w:t>通过有针对性的运动和营养摄入抵抗骨质流失</w:t>
      </w:r>
    </w:p>
    <w:p w14:paraId="31EA7E09">
      <w:pPr>
        <w:numPr>
          <w:ilvl w:val="0"/>
          <w:numId w:val="2"/>
        </w:numPr>
        <w:ind w:left="840" w:leftChars="0" w:hanging="420" w:firstLineChars="0"/>
        <w:rPr>
          <w:rFonts w:hint="eastAsia"/>
          <w:bCs/>
          <w:kern w:val="0"/>
          <w:szCs w:val="21"/>
        </w:rPr>
      </w:pPr>
      <w:r>
        <w:rPr>
          <w:rFonts w:hint="eastAsia"/>
          <w:bCs/>
          <w:kern w:val="0"/>
          <w:szCs w:val="21"/>
        </w:rPr>
        <w:t>用富含膳食纤维的食物取代隐藏的肠道干扰物，帮助维持体重平衡</w:t>
      </w:r>
    </w:p>
    <w:p w14:paraId="63F8CDD0">
      <w:pPr>
        <w:numPr>
          <w:ilvl w:val="0"/>
          <w:numId w:val="2"/>
        </w:numPr>
        <w:ind w:left="840" w:leftChars="0" w:hanging="420" w:firstLineChars="0"/>
        <w:rPr>
          <w:rFonts w:hint="eastAsia"/>
          <w:bCs/>
          <w:kern w:val="0"/>
          <w:szCs w:val="21"/>
        </w:rPr>
      </w:pPr>
      <w:r>
        <w:rPr>
          <w:rFonts w:hint="eastAsia"/>
          <w:bCs/>
          <w:kern w:val="0"/>
          <w:szCs w:val="21"/>
        </w:rPr>
        <w:t>运用最新的压力管理技巧，有效应对情绪困扰</w:t>
      </w:r>
    </w:p>
    <w:p w14:paraId="69E88E89">
      <w:pPr>
        <w:numPr>
          <w:ilvl w:val="0"/>
          <w:numId w:val="2"/>
        </w:numPr>
        <w:ind w:left="840" w:leftChars="0" w:hanging="420" w:firstLineChars="0"/>
        <w:rPr>
          <w:rFonts w:hint="eastAsia"/>
          <w:bCs/>
          <w:kern w:val="0"/>
          <w:szCs w:val="21"/>
        </w:rPr>
      </w:pPr>
      <w:r>
        <w:rPr>
          <w:rFonts w:hint="eastAsia"/>
          <w:bCs/>
          <w:kern w:val="0"/>
          <w:szCs w:val="21"/>
        </w:rPr>
        <w:t>重新校准生理节律，重视休息与睡眠</w:t>
      </w:r>
    </w:p>
    <w:p w14:paraId="1204542C">
      <w:pPr>
        <w:numPr>
          <w:ilvl w:val="0"/>
          <w:numId w:val="2"/>
        </w:numPr>
        <w:ind w:left="840" w:leftChars="0" w:hanging="420" w:firstLineChars="0"/>
        <w:rPr>
          <w:rFonts w:hint="eastAsia"/>
          <w:bCs/>
          <w:kern w:val="0"/>
          <w:szCs w:val="21"/>
        </w:rPr>
      </w:pPr>
      <w:r>
        <w:rPr>
          <w:rFonts w:hint="eastAsia"/>
          <w:bCs/>
          <w:kern w:val="0"/>
          <w:szCs w:val="21"/>
        </w:rPr>
        <w:t>修复“肠漏”问题，恢复免疫系统功能</w:t>
      </w:r>
    </w:p>
    <w:p w14:paraId="2008DB8F">
      <w:pPr>
        <w:numPr>
          <w:ilvl w:val="0"/>
          <w:numId w:val="2"/>
        </w:numPr>
        <w:ind w:left="840" w:leftChars="0" w:hanging="420" w:firstLineChars="0"/>
        <w:rPr>
          <w:rFonts w:hint="eastAsia"/>
          <w:bCs/>
          <w:kern w:val="0"/>
          <w:szCs w:val="21"/>
        </w:rPr>
      </w:pPr>
      <w:r>
        <w:rPr>
          <w:rFonts w:hint="eastAsia"/>
          <w:bCs/>
          <w:kern w:val="0"/>
          <w:szCs w:val="21"/>
        </w:rPr>
        <w:t>了解激素替代疗法（HRT）的益处</w:t>
      </w:r>
    </w:p>
    <w:p w14:paraId="1D63D63F">
      <w:pPr>
        <w:rPr>
          <w:rFonts w:hint="eastAsia"/>
          <w:bCs/>
          <w:kern w:val="0"/>
          <w:szCs w:val="21"/>
        </w:rPr>
      </w:pPr>
    </w:p>
    <w:p w14:paraId="7C497B31">
      <w:pPr>
        <w:ind w:firstLine="420" w:firstLineChars="200"/>
        <w:rPr>
          <w:rFonts w:hint="eastAsia"/>
          <w:bCs/>
          <w:kern w:val="0"/>
          <w:szCs w:val="21"/>
          <w:lang w:val="en-US" w:eastAsia="zh-CN"/>
        </w:rPr>
      </w:pPr>
      <w:r>
        <w:rPr>
          <w:rFonts w:hint="eastAsia"/>
          <w:bCs/>
          <w:kern w:val="0"/>
          <w:szCs w:val="21"/>
        </w:rPr>
        <w:t>这本书实用、可操作、具有改变人生的潜力。《更年期肠道</w:t>
      </w:r>
      <w:r>
        <w:rPr>
          <w:rFonts w:hint="eastAsia"/>
          <w:bCs/>
          <w:kern w:val="0"/>
          <w:szCs w:val="21"/>
          <w:lang w:val="en-US" w:eastAsia="zh-CN"/>
        </w:rPr>
        <w:t>革命</w:t>
      </w:r>
      <w:r>
        <w:rPr>
          <w:rFonts w:hint="eastAsia"/>
          <w:bCs/>
          <w:kern w:val="0"/>
          <w:szCs w:val="21"/>
        </w:rPr>
        <w:t>》将鼓舞并赋能女性，在中年及其以后，掌握自己的健康主动权。</w:t>
      </w:r>
    </w:p>
    <w:p w14:paraId="554EFD56">
      <w:pPr>
        <w:rPr>
          <w:rFonts w:hint="eastAsia"/>
          <w:bCs/>
          <w:kern w:val="0"/>
          <w:szCs w:val="21"/>
          <w:lang w:val="en-US" w:eastAsia="zh-CN"/>
        </w:rPr>
      </w:pPr>
    </w:p>
    <w:p w14:paraId="59266DC6">
      <w:pPr>
        <w:rPr>
          <w:b/>
          <w:color w:val="000000"/>
          <w:szCs w:val="21"/>
        </w:rPr>
      </w:pPr>
    </w:p>
    <w:p w14:paraId="4ADA3A42">
      <w:pPr>
        <w:rPr>
          <w:b/>
          <w:color w:val="000000"/>
          <w:szCs w:val="21"/>
        </w:rPr>
      </w:pPr>
    </w:p>
    <w:p w14:paraId="1951768D">
      <w:pPr>
        <w:rPr>
          <w:rFonts w:hint="eastAsia"/>
          <w:b/>
          <w:color w:val="000000"/>
          <w:szCs w:val="21"/>
        </w:rPr>
      </w:pPr>
      <w:bookmarkStart w:id="1" w:name="_GoBack"/>
      <w:bookmarkEnd w:id="1"/>
      <w:r>
        <w:rPr>
          <w:b/>
          <w:color w:val="000000"/>
          <w:szCs w:val="21"/>
        </w:rPr>
        <w:t>作者简介：</w:t>
      </w:r>
    </w:p>
    <w:p w14:paraId="67EA0646">
      <w:pPr>
        <w:rPr>
          <w:bCs/>
          <w:color w:val="000000"/>
          <w:szCs w:val="21"/>
        </w:rPr>
      </w:pPr>
    </w:p>
    <w:p w14:paraId="5078263F">
      <w:pPr>
        <w:ind w:right="420" w:firstLine="422" w:firstLineChars="200"/>
        <w:rPr>
          <w:rFonts w:hint="eastAsia"/>
          <w:b/>
          <w:bCs/>
          <w:color w:val="000000"/>
          <w:szCs w:val="21"/>
          <w:lang w:val="en-US" w:eastAsia="zh-CN"/>
        </w:rPr>
      </w:pPr>
      <w:r>
        <w:rPr>
          <w:rFonts w:hint="eastAsia"/>
          <w:b/>
          <w:bCs/>
          <w:color w:val="000000"/>
          <w:szCs w:val="21"/>
          <w:lang w:val="en-US" w:eastAsia="zh-CN"/>
        </w:rPr>
        <w:t>辛西娅·瑟洛（Cynthia Thurlow）</w:t>
      </w:r>
      <w:r>
        <w:rPr>
          <w:rFonts w:hint="eastAsia"/>
          <w:b w:val="0"/>
          <w:bCs w:val="0"/>
          <w:color w:val="000000"/>
          <w:szCs w:val="21"/>
          <w:lang w:val="en-US" w:eastAsia="zh-CN"/>
        </w:rPr>
        <w:t>是一名护士执业医师，播客节目《日常健康》（Everyday Wellness）的主持人，同时也是作家和国际演讲家。她的第二场TEDx演讲《间歇性禁食：转化生命的技巧》（Intermittent Fasting: Transformational Technique）播放量超过1500万次。拥有超过25年的健康与保健经验，辛西娅是全球公认的围绝经期/更年期与间歇性禁食领域的专家，曾在ABC、FOX5、KTLA、CW、Medium、Entrepreneur、《梅根·凯利秀》等媒体亮相。她的使命是帮助女性在围绝经期及其以后，活出最理想的自我。</w:t>
      </w:r>
    </w:p>
    <w:p w14:paraId="519939F2">
      <w:pPr>
        <w:ind w:right="420"/>
        <w:rPr>
          <w:rFonts w:hint="default"/>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44C2FBC6">
      <w:pPr>
        <w:ind w:right="420"/>
        <w:rPr>
          <w:rFonts w:hint="eastAsia"/>
          <w:b w:val="0"/>
          <w:bCs w:val="0"/>
          <w:color w:val="000000"/>
          <w:szCs w:val="21"/>
          <w:lang w:val="en-US" w:eastAsia="zh-CN"/>
        </w:rPr>
      </w:pPr>
      <w:r>
        <w:rPr>
          <w:rFonts w:hint="eastAsia"/>
          <w:b w:val="0"/>
          <w:bCs w:val="0"/>
          <w:color w:val="000000"/>
          <w:szCs w:val="21"/>
          <w:lang w:val="en-US" w:eastAsia="zh-CN"/>
        </w:rPr>
        <w:t>引言</w:t>
      </w:r>
    </w:p>
    <w:p w14:paraId="2DDD71B1">
      <w:pPr>
        <w:ind w:right="420"/>
        <w:rPr>
          <w:rFonts w:hint="eastAsia"/>
          <w:b w:val="0"/>
          <w:bCs w:val="0"/>
          <w:color w:val="000000"/>
          <w:szCs w:val="21"/>
          <w:lang w:val="en-US" w:eastAsia="zh-CN"/>
        </w:rPr>
      </w:pPr>
    </w:p>
    <w:p w14:paraId="0B49EC9F">
      <w:pPr>
        <w:ind w:right="420"/>
        <w:rPr>
          <w:rFonts w:hint="eastAsia"/>
          <w:b w:val="0"/>
          <w:bCs w:val="0"/>
          <w:color w:val="000000"/>
          <w:szCs w:val="21"/>
          <w:lang w:val="en-US" w:eastAsia="zh-CN"/>
        </w:rPr>
      </w:pPr>
      <w:r>
        <w:rPr>
          <w:rFonts w:hint="eastAsia"/>
          <w:b w:val="0"/>
          <w:bCs w:val="0"/>
          <w:color w:val="000000"/>
          <w:szCs w:val="21"/>
          <w:lang w:val="en-US" w:eastAsia="zh-CN"/>
        </w:rPr>
        <w:t>第一部分：一切息息相关</w:t>
      </w:r>
    </w:p>
    <w:p w14:paraId="271E523F">
      <w:pPr>
        <w:ind w:right="420"/>
        <w:rPr>
          <w:rFonts w:hint="eastAsia"/>
          <w:b w:val="0"/>
          <w:bCs w:val="0"/>
          <w:color w:val="000000"/>
          <w:szCs w:val="21"/>
          <w:lang w:val="en-US" w:eastAsia="zh-CN"/>
        </w:rPr>
      </w:pPr>
      <w:r>
        <w:rPr>
          <w:rFonts w:hint="eastAsia"/>
          <w:b w:val="0"/>
          <w:bCs w:val="0"/>
          <w:color w:val="000000"/>
          <w:szCs w:val="21"/>
          <w:lang w:val="en-US" w:eastAsia="zh-CN"/>
        </w:rPr>
        <w:t>第1章：认识你的微生物群</w:t>
      </w:r>
    </w:p>
    <w:p w14:paraId="7874A801">
      <w:pPr>
        <w:ind w:right="420"/>
        <w:rPr>
          <w:rFonts w:hint="eastAsia"/>
          <w:b w:val="0"/>
          <w:bCs w:val="0"/>
          <w:color w:val="000000"/>
          <w:szCs w:val="21"/>
          <w:lang w:val="en-US" w:eastAsia="zh-CN"/>
        </w:rPr>
      </w:pPr>
      <w:r>
        <w:rPr>
          <w:rFonts w:hint="eastAsia"/>
          <w:b w:val="0"/>
          <w:bCs w:val="0"/>
          <w:color w:val="000000"/>
          <w:szCs w:val="21"/>
          <w:lang w:val="en-US" w:eastAsia="zh-CN"/>
        </w:rPr>
        <w:t>第2章：大门口的敌人</w:t>
      </w:r>
    </w:p>
    <w:p w14:paraId="1E948039">
      <w:pPr>
        <w:ind w:right="420"/>
        <w:rPr>
          <w:rFonts w:hint="eastAsia"/>
          <w:b w:val="0"/>
          <w:bCs w:val="0"/>
          <w:color w:val="000000"/>
          <w:szCs w:val="21"/>
          <w:lang w:val="en-US" w:eastAsia="zh-CN"/>
        </w:rPr>
      </w:pPr>
      <w:r>
        <w:rPr>
          <w:rFonts w:hint="eastAsia"/>
          <w:b w:val="0"/>
          <w:bCs w:val="0"/>
          <w:color w:val="000000"/>
          <w:szCs w:val="21"/>
          <w:lang w:val="en-US" w:eastAsia="zh-CN"/>
        </w:rPr>
        <w:t>第3章：卵巢也会老</w:t>
      </w:r>
    </w:p>
    <w:p w14:paraId="0DF6A713">
      <w:pPr>
        <w:ind w:right="420"/>
        <w:rPr>
          <w:rFonts w:hint="eastAsia"/>
          <w:b w:val="0"/>
          <w:bCs w:val="0"/>
          <w:color w:val="000000"/>
          <w:szCs w:val="21"/>
          <w:lang w:val="en-US" w:eastAsia="zh-CN"/>
        </w:rPr>
      </w:pPr>
      <w:r>
        <w:rPr>
          <w:rFonts w:hint="eastAsia"/>
          <w:b w:val="0"/>
          <w:bCs w:val="0"/>
          <w:color w:val="000000"/>
          <w:szCs w:val="21"/>
          <w:lang w:val="en-US" w:eastAsia="zh-CN"/>
        </w:rPr>
        <w:t>第4章：别告诉我“你就是激素紊乱”</w:t>
      </w:r>
    </w:p>
    <w:p w14:paraId="3DAAD2EC">
      <w:pPr>
        <w:ind w:right="420"/>
        <w:rPr>
          <w:rFonts w:hint="eastAsia"/>
          <w:b w:val="0"/>
          <w:bCs w:val="0"/>
          <w:color w:val="000000"/>
          <w:szCs w:val="21"/>
          <w:lang w:val="en-US" w:eastAsia="zh-CN"/>
        </w:rPr>
      </w:pPr>
      <w:r>
        <w:rPr>
          <w:rFonts w:hint="eastAsia"/>
          <w:b w:val="0"/>
          <w:bCs w:val="0"/>
          <w:color w:val="000000"/>
          <w:szCs w:val="21"/>
          <w:lang w:val="en-US" w:eastAsia="zh-CN"/>
        </w:rPr>
        <w:t>第5章：“我在骨子里都能感觉到”</w:t>
      </w:r>
    </w:p>
    <w:p w14:paraId="42920E51">
      <w:pPr>
        <w:ind w:right="420"/>
        <w:rPr>
          <w:rFonts w:hint="eastAsia"/>
          <w:b w:val="0"/>
          <w:bCs w:val="0"/>
          <w:color w:val="000000"/>
          <w:szCs w:val="21"/>
          <w:lang w:val="en-US" w:eastAsia="zh-CN"/>
        </w:rPr>
      </w:pPr>
    </w:p>
    <w:p w14:paraId="75881F46">
      <w:pPr>
        <w:ind w:right="420"/>
        <w:rPr>
          <w:rFonts w:hint="eastAsia"/>
          <w:b w:val="0"/>
          <w:bCs w:val="0"/>
          <w:color w:val="000000"/>
          <w:szCs w:val="21"/>
          <w:lang w:val="en-US" w:eastAsia="zh-CN"/>
        </w:rPr>
      </w:pPr>
      <w:r>
        <w:rPr>
          <w:rFonts w:hint="eastAsia"/>
          <w:b w:val="0"/>
          <w:bCs w:val="0"/>
          <w:color w:val="000000"/>
          <w:szCs w:val="21"/>
          <w:lang w:val="en-US" w:eastAsia="zh-CN"/>
        </w:rPr>
        <w:t>第二部分：重新按下生命的播放键</w:t>
      </w:r>
    </w:p>
    <w:p w14:paraId="47B6D9A8">
      <w:pPr>
        <w:ind w:right="420"/>
        <w:rPr>
          <w:rFonts w:hint="eastAsia"/>
          <w:b w:val="0"/>
          <w:bCs w:val="0"/>
          <w:color w:val="000000"/>
          <w:szCs w:val="21"/>
          <w:lang w:val="en-US" w:eastAsia="zh-CN"/>
        </w:rPr>
      </w:pPr>
      <w:r>
        <w:rPr>
          <w:rFonts w:hint="eastAsia"/>
          <w:b w:val="0"/>
          <w:bCs w:val="0"/>
          <w:color w:val="000000"/>
          <w:szCs w:val="21"/>
          <w:lang w:val="en-US" w:eastAsia="zh-CN"/>
        </w:rPr>
        <w:t>第6章：营养是你的武器</w:t>
      </w:r>
    </w:p>
    <w:p w14:paraId="5F79D393">
      <w:pPr>
        <w:ind w:right="420"/>
        <w:rPr>
          <w:rFonts w:hint="eastAsia"/>
          <w:b w:val="0"/>
          <w:bCs w:val="0"/>
          <w:color w:val="000000"/>
          <w:szCs w:val="21"/>
          <w:lang w:val="en-US" w:eastAsia="zh-CN"/>
        </w:rPr>
      </w:pPr>
      <w:r>
        <w:rPr>
          <w:rFonts w:hint="eastAsia"/>
          <w:b w:val="0"/>
          <w:bCs w:val="0"/>
          <w:color w:val="000000"/>
          <w:szCs w:val="21"/>
          <w:lang w:val="en-US" w:eastAsia="zh-CN"/>
        </w:rPr>
        <w:t>第7章：保持运动</w:t>
      </w:r>
    </w:p>
    <w:p w14:paraId="38E6EA04">
      <w:pPr>
        <w:ind w:right="420"/>
        <w:rPr>
          <w:rFonts w:hint="eastAsia"/>
          <w:b w:val="0"/>
          <w:bCs w:val="0"/>
          <w:color w:val="000000"/>
          <w:szCs w:val="21"/>
          <w:lang w:val="en-US" w:eastAsia="zh-CN"/>
        </w:rPr>
      </w:pPr>
      <w:r>
        <w:rPr>
          <w:rFonts w:hint="eastAsia"/>
          <w:b w:val="0"/>
          <w:bCs w:val="0"/>
          <w:color w:val="000000"/>
          <w:szCs w:val="21"/>
          <w:lang w:val="en-US" w:eastAsia="zh-CN"/>
        </w:rPr>
        <w:t>第8章：像婴儿一样入睡</w:t>
      </w:r>
    </w:p>
    <w:p w14:paraId="61E73CD6">
      <w:pPr>
        <w:ind w:right="420"/>
        <w:rPr>
          <w:rFonts w:hint="eastAsia"/>
          <w:b w:val="0"/>
          <w:bCs w:val="0"/>
          <w:color w:val="000000"/>
          <w:szCs w:val="21"/>
          <w:lang w:val="en-US" w:eastAsia="zh-CN"/>
        </w:rPr>
      </w:pPr>
      <w:r>
        <w:rPr>
          <w:rFonts w:hint="eastAsia"/>
          <w:b w:val="0"/>
          <w:bCs w:val="0"/>
          <w:color w:val="000000"/>
          <w:szCs w:val="21"/>
          <w:lang w:val="en-US" w:eastAsia="zh-CN"/>
        </w:rPr>
        <w:t>第9章：压力爆表</w:t>
      </w:r>
    </w:p>
    <w:p w14:paraId="0E21D4C1">
      <w:pPr>
        <w:ind w:right="420"/>
        <w:rPr>
          <w:rFonts w:hint="eastAsia"/>
          <w:b w:val="0"/>
          <w:bCs w:val="0"/>
          <w:color w:val="000000"/>
          <w:szCs w:val="21"/>
          <w:lang w:val="en-US" w:eastAsia="zh-CN"/>
        </w:rPr>
      </w:pPr>
      <w:r>
        <w:rPr>
          <w:rFonts w:hint="eastAsia"/>
          <w:b w:val="0"/>
          <w:bCs w:val="0"/>
          <w:color w:val="000000"/>
          <w:szCs w:val="21"/>
          <w:lang w:val="en-US" w:eastAsia="zh-CN"/>
        </w:rPr>
        <w:t>第10章：要不要进行激素替代疗法？</w:t>
      </w:r>
    </w:p>
    <w:p w14:paraId="3F6F54AF">
      <w:pPr>
        <w:ind w:right="420"/>
        <w:rPr>
          <w:rFonts w:hint="eastAsia"/>
          <w:b w:val="0"/>
          <w:bCs w:val="0"/>
          <w:color w:val="000000"/>
          <w:szCs w:val="21"/>
          <w:lang w:val="en-US" w:eastAsia="zh-CN"/>
        </w:rPr>
      </w:pPr>
      <w:r>
        <w:rPr>
          <w:rFonts w:hint="eastAsia"/>
          <w:b w:val="0"/>
          <w:bCs w:val="0"/>
          <w:color w:val="000000"/>
          <w:szCs w:val="21"/>
          <w:lang w:val="en-US" w:eastAsia="zh-CN"/>
        </w:rPr>
        <w:t>第11章：测试、检测，再测试</w:t>
      </w:r>
    </w:p>
    <w:p w14:paraId="24CA34AD">
      <w:pPr>
        <w:ind w:right="420"/>
        <w:rPr>
          <w:rFonts w:hint="eastAsia"/>
          <w:b w:val="0"/>
          <w:bCs w:val="0"/>
          <w:color w:val="000000"/>
          <w:szCs w:val="21"/>
          <w:lang w:val="en-US" w:eastAsia="zh-CN"/>
        </w:rPr>
      </w:pPr>
      <w:r>
        <w:rPr>
          <w:rFonts w:hint="eastAsia"/>
          <w:b w:val="0"/>
          <w:bCs w:val="0"/>
          <w:color w:val="000000"/>
          <w:szCs w:val="21"/>
          <w:lang w:val="en-US" w:eastAsia="zh-CN"/>
        </w:rPr>
        <w:t>第12章：额外的支持剂量</w:t>
      </w:r>
    </w:p>
    <w:p w14:paraId="7FB384DE">
      <w:pPr>
        <w:ind w:right="420"/>
        <w:rPr>
          <w:rFonts w:hint="eastAsia"/>
          <w:b w:val="0"/>
          <w:bCs w:val="0"/>
          <w:color w:val="000000"/>
          <w:szCs w:val="21"/>
          <w:lang w:val="en-US" w:eastAsia="zh-CN"/>
        </w:rPr>
      </w:pPr>
      <w:r>
        <w:rPr>
          <w:rFonts w:hint="eastAsia"/>
          <w:b w:val="0"/>
          <w:bCs w:val="0"/>
          <w:color w:val="000000"/>
          <w:szCs w:val="21"/>
          <w:lang w:val="en-US" w:eastAsia="zh-CN"/>
        </w:rPr>
        <w:t>第13章：更年期肠道食谱</w:t>
      </w:r>
    </w:p>
    <w:p w14:paraId="583E162C">
      <w:pPr>
        <w:ind w:right="420"/>
        <w:rPr>
          <w:rFonts w:hint="eastAsia"/>
          <w:b w:val="0"/>
          <w:bCs w:val="0"/>
          <w:color w:val="000000"/>
          <w:szCs w:val="21"/>
          <w:lang w:val="en-US" w:eastAsia="zh-CN"/>
        </w:rPr>
      </w:pPr>
    </w:p>
    <w:p w14:paraId="428A3DA7">
      <w:pPr>
        <w:ind w:right="420"/>
        <w:rPr>
          <w:rFonts w:hint="eastAsia"/>
          <w:b w:val="0"/>
          <w:bCs w:val="0"/>
          <w:color w:val="000000"/>
          <w:szCs w:val="21"/>
          <w:lang w:val="en-US" w:eastAsia="zh-CN"/>
        </w:rPr>
      </w:pPr>
      <w:r>
        <w:rPr>
          <w:rFonts w:hint="eastAsia"/>
          <w:b w:val="0"/>
          <w:bCs w:val="0"/>
          <w:color w:val="000000"/>
          <w:szCs w:val="21"/>
          <w:lang w:val="en-US" w:eastAsia="zh-CN"/>
        </w:rPr>
        <w:t>附录</w:t>
      </w:r>
    </w:p>
    <w:p w14:paraId="417DB392">
      <w:pPr>
        <w:ind w:right="420"/>
        <w:rPr>
          <w:rFonts w:hint="eastAsia"/>
          <w:b w:val="0"/>
          <w:bCs w:val="0"/>
          <w:color w:val="000000"/>
          <w:szCs w:val="21"/>
          <w:lang w:val="en-US" w:eastAsia="zh-CN"/>
        </w:rPr>
      </w:pPr>
      <w:r>
        <w:rPr>
          <w:rFonts w:hint="eastAsia"/>
          <w:b w:val="0"/>
          <w:bCs w:val="0"/>
          <w:color w:val="000000"/>
          <w:szCs w:val="21"/>
          <w:lang w:val="en-US" w:eastAsia="zh-CN"/>
        </w:rPr>
        <w:t>常见问答</w:t>
      </w:r>
    </w:p>
    <w:p w14:paraId="7B244906">
      <w:pPr>
        <w:ind w:right="420"/>
        <w:rPr>
          <w:rFonts w:hint="eastAsia"/>
          <w:b w:val="0"/>
          <w:bCs w:val="0"/>
          <w:color w:val="000000"/>
          <w:szCs w:val="21"/>
          <w:lang w:val="en-US" w:eastAsia="zh-CN"/>
        </w:rPr>
      </w:pPr>
      <w:r>
        <w:rPr>
          <w:rFonts w:hint="eastAsia"/>
          <w:b w:val="0"/>
          <w:bCs w:val="0"/>
          <w:color w:val="000000"/>
          <w:szCs w:val="21"/>
          <w:lang w:val="en-US" w:eastAsia="zh-CN"/>
        </w:rPr>
        <w:t>资源推荐</w:t>
      </w:r>
    </w:p>
    <w:p w14:paraId="1E418901">
      <w:pPr>
        <w:ind w:right="420"/>
        <w:rPr>
          <w:rFonts w:hint="eastAsia"/>
          <w:b w:val="0"/>
          <w:bCs w:val="0"/>
          <w:color w:val="000000"/>
          <w:szCs w:val="21"/>
          <w:lang w:val="en-US" w:eastAsia="zh-CN"/>
        </w:rPr>
      </w:pPr>
      <w:r>
        <w:rPr>
          <w:rFonts w:hint="eastAsia"/>
          <w:b w:val="0"/>
          <w:bCs w:val="0"/>
          <w:color w:val="000000"/>
          <w:szCs w:val="21"/>
          <w:lang w:val="en-US" w:eastAsia="zh-CN"/>
        </w:rPr>
        <w:t>致谢</w:t>
      </w:r>
    </w:p>
    <w:p w14:paraId="770A7710">
      <w:pPr>
        <w:ind w:right="420"/>
        <w:rPr>
          <w:rFonts w:hint="eastAsia"/>
          <w:b w:val="0"/>
          <w:bCs w:val="0"/>
          <w:color w:val="000000"/>
          <w:szCs w:val="21"/>
          <w:lang w:val="en-US" w:eastAsia="zh-CN"/>
        </w:rPr>
      </w:pPr>
      <w:r>
        <w:rPr>
          <w:rFonts w:hint="eastAsia"/>
          <w:b w:val="0"/>
          <w:bCs w:val="0"/>
          <w:color w:val="000000"/>
          <w:szCs w:val="21"/>
          <w:lang w:val="en-US" w:eastAsia="zh-CN"/>
        </w:rPr>
        <w:t>索引</w:t>
      </w:r>
    </w:p>
    <w:p w14:paraId="4E554BC1">
      <w:pPr>
        <w:ind w:right="420"/>
        <w:rPr>
          <w:rFonts w:hint="eastAsia"/>
          <w:b/>
          <w:bCs/>
          <w:color w:val="000000"/>
          <w:szCs w:val="21"/>
          <w:lang w:val="en-US" w:eastAsia="zh-CN"/>
        </w:rPr>
      </w:pPr>
    </w:p>
    <w:p w14:paraId="48B44239">
      <w:pPr>
        <w:ind w:right="420"/>
        <w:rPr>
          <w:rFonts w:hint="eastAsia"/>
          <w:b/>
          <w:bCs/>
          <w:color w:val="000000"/>
          <w:szCs w:val="21"/>
          <w:lang w:val="en-US" w:eastAsia="zh-CN"/>
        </w:rPr>
      </w:pPr>
    </w:p>
    <w:p w14:paraId="7C37D1AF">
      <w:pPr>
        <w:shd w:val="clear" w:color="auto" w:fill="FFFFFF"/>
        <w:rPr>
          <w:rFonts w:hint="eastAsia" w:ascii="Arial Unicode MS" w:hAnsi="Arial Unicode MS" w:cs="Verdana"/>
          <w:b/>
          <w:bCs/>
          <w:color w:val="000000"/>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3DD40"/>
    <w:multiLevelType w:val="singleLevel"/>
    <w:tmpl w:val="1F73DD40"/>
    <w:lvl w:ilvl="0" w:tentative="0">
      <w:start w:val="1"/>
      <w:numFmt w:val="bullet"/>
      <w:lvlText w:val=""/>
      <w:lvlJc w:val="left"/>
      <w:pPr>
        <w:tabs>
          <w:tab w:val="left" w:pos="420"/>
        </w:tabs>
        <w:ind w:left="840" w:hanging="420"/>
      </w:pPr>
      <w:rPr>
        <w:rFonts w:hint="default" w:ascii="Wingdings" w:hAnsi="Wingdings"/>
      </w:rPr>
    </w:lvl>
  </w:abstractNum>
  <w:abstractNum w:abstractNumId="1">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1BA86C22"/>
    <w:rsid w:val="2C0B6F0E"/>
    <w:rsid w:val="2CB75CA1"/>
    <w:rsid w:val="2DA34CE1"/>
    <w:rsid w:val="31757DDC"/>
    <w:rsid w:val="32DF736A"/>
    <w:rsid w:val="3AE04ADC"/>
    <w:rsid w:val="3C1934F8"/>
    <w:rsid w:val="432C279F"/>
    <w:rsid w:val="46B43896"/>
    <w:rsid w:val="47A452FD"/>
    <w:rsid w:val="4C156891"/>
    <w:rsid w:val="57C65B8B"/>
    <w:rsid w:val="60B3492E"/>
    <w:rsid w:val="68EE2E29"/>
    <w:rsid w:val="6AEB37C3"/>
    <w:rsid w:val="73FC1536"/>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1148</Words>
  <Characters>1626</Characters>
  <Lines>25</Lines>
  <Paragraphs>7</Paragraphs>
  <TotalTime>1</TotalTime>
  <ScaleCrop>false</ScaleCrop>
  <LinksUpToDate>false</LinksUpToDate>
  <CharactersWithSpaces>1669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2025-07-09T05:36:56Z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