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3925570</wp:posOffset>
            </wp:positionH>
            <wp:positionV relativeFrom="paragraph">
              <wp:posOffset>33655</wp:posOffset>
            </wp:positionV>
            <wp:extent cx="1468120" cy="2207895"/>
            <wp:effectExtent l="0" t="0" r="10160" b="1905"/>
            <wp:wrapSquare wrapText="bothSides"/>
            <wp:docPr id="1" name="图片 39" descr="C:/Users/lenovo/Desktop/屏幕截图 2025-08-07 122328.png屏幕截图 2025-08-07 12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8-07 122328.png屏幕截图 2025-08-07 122328"/>
                    <pic:cNvPicPr>
                      <a:picLocks noChangeAspect="1"/>
                    </pic:cNvPicPr>
                  </pic:nvPicPr>
                  <pic:blipFill>
                    <a:blip r:embed="rId6"/>
                    <a:srcRect t="2160" b="2160"/>
                    <a:stretch>
                      <a:fillRect/>
                    </a:stretch>
                  </pic:blipFill>
                  <pic:spPr>
                    <a:xfrm>
                      <a:off x="0" y="0"/>
                      <a:ext cx="1468120" cy="220789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《每一个孩子都需要被看见：重塑校园中的归属感与希望》</w:t>
      </w:r>
    </w:p>
    <w:p w14:paraId="139DC89A">
      <w:pPr>
        <w:tabs>
          <w:tab w:val="left" w:pos="341"/>
          <w:tab w:val="left" w:pos="5235"/>
        </w:tabs>
        <w:rPr>
          <w:b/>
          <w:bCs/>
          <w:i w:val="0"/>
          <w:i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val="0"/>
          <w:iCs/>
          <w:color w:val="000000"/>
          <w:szCs w:val="21"/>
          <w:highlight w:val="none"/>
        </w:rPr>
        <w:t>THE KIDS WHO AREN</w:t>
      </w:r>
      <w:r>
        <w:rPr>
          <w:rFonts w:hint="default"/>
          <w:b/>
          <w:bCs/>
          <w:i w:val="0"/>
          <w:iCs/>
          <w:color w:val="000000"/>
          <w:szCs w:val="21"/>
          <w:highlight w:val="none"/>
          <w:lang w:val="en-US" w:eastAsia="zh-CN"/>
        </w:rPr>
        <w:t>’</w:t>
      </w:r>
      <w:r>
        <w:rPr>
          <w:rFonts w:hint="eastAsia"/>
          <w:b/>
          <w:bCs/>
          <w:i w:val="0"/>
          <w:iCs/>
          <w:color w:val="000000"/>
          <w:szCs w:val="21"/>
          <w:highlight w:val="none"/>
        </w:rPr>
        <w:t>T OKAY</w:t>
      </w:r>
      <w:r>
        <w:rPr>
          <w:rFonts w:hint="eastAsia"/>
          <w:b/>
          <w:bCs/>
          <w:i w:val="0"/>
          <w:iCs/>
          <w:color w:val="000000"/>
          <w:szCs w:val="21"/>
          <w:highlight w:val="none"/>
          <w:lang w:val="en-US" w:eastAsia="zh-CN"/>
        </w:rPr>
        <w:t>:</w:t>
      </w:r>
      <w:r>
        <w:rPr>
          <w:rFonts w:hint="eastAsia"/>
          <w:b/>
          <w:bCs/>
          <w:i w:val="0"/>
          <w:iCs/>
          <w:color w:val="000000"/>
          <w:szCs w:val="21"/>
          <w:highlight w:val="none"/>
        </w:rPr>
        <w:t xml:space="preserve"> The Urgent Case for Reimagining Support, Belonging, and Hope in Schools</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Ross W. Greene</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 xml:space="preserve">S&amp;S, </w:t>
      </w:r>
      <w:bookmarkStart w:id="1" w:name="_GoBack"/>
      <w:bookmarkEnd w:id="1"/>
      <w:r>
        <w:rPr>
          <w:rFonts w:hint="eastAsia"/>
          <w:b/>
          <w:bCs/>
          <w:color w:val="000000"/>
          <w:szCs w:val="21"/>
          <w:highlight w:val="none"/>
          <w:lang w:val="en-US" w:eastAsia="zh-CN"/>
        </w:rPr>
        <w:t>Scribner</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default" w:eastAsia="宋体"/>
          <w:b/>
          <w:bCs/>
          <w:color w:val="000000"/>
          <w:szCs w:val="21"/>
          <w:highlight w:val="none"/>
          <w:lang w:val="en-US" w:eastAsia="zh-CN"/>
        </w:rPr>
      </w:pPr>
      <w:r>
        <w:rPr>
          <w:b/>
          <w:bCs/>
          <w:color w:val="000000"/>
          <w:szCs w:val="21"/>
          <w:highlight w:val="none"/>
        </w:rPr>
        <w:t>页    数：</w:t>
      </w:r>
      <w:r>
        <w:rPr>
          <w:rFonts w:hint="eastAsia"/>
          <w:b/>
          <w:bCs/>
          <w:color w:val="000000"/>
          <w:szCs w:val="21"/>
          <w:highlight w:val="none"/>
          <w:lang w:val="en-US" w:eastAsia="zh-CN"/>
        </w:rPr>
        <w:t>320页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26</w:t>
      </w:r>
      <w:r>
        <w:rPr>
          <w:b/>
          <w:bCs/>
          <w:color w:val="000000"/>
          <w:szCs w:val="21"/>
          <w:highlight w:val="none"/>
        </w:rPr>
        <w:t>年</w:t>
      </w:r>
      <w:r>
        <w:rPr>
          <w:rFonts w:hint="eastAsia"/>
          <w:b/>
          <w:bCs/>
          <w:color w:val="000000"/>
          <w:szCs w:val="21"/>
          <w:highlight w:val="none"/>
          <w:lang w:val="en-US" w:eastAsia="zh-CN"/>
        </w:rPr>
        <w:t>2</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家教育儿</w:t>
      </w:r>
    </w:p>
    <w:p w14:paraId="3094D38F">
      <w:pPr>
        <w:rPr>
          <w:rFonts w:hint="eastAsia" w:ascii="Arial" w:hAnsi="Arial" w:cs="Arial"/>
          <w:b/>
          <w:bCs/>
          <w:color w:val="000000"/>
          <w:spacing w:val="-3"/>
          <w:sz w:val="11"/>
          <w:szCs w:val="11"/>
          <w:shd w:val="clear" w:color="auto" w:fill="FFFFFF"/>
        </w:rPr>
      </w:pPr>
    </w:p>
    <w:p w14:paraId="2E429641">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6A64CCD6">
      <w:pPr>
        <w:ind w:firstLine="420" w:firstLineChars="200"/>
        <w:rPr>
          <w:rFonts w:hint="eastAsia"/>
          <w:bCs/>
          <w:kern w:val="0"/>
          <w:szCs w:val="21"/>
        </w:rPr>
      </w:pPr>
      <w:r>
        <w:rPr>
          <w:rFonts w:hint="eastAsia"/>
          <w:bCs/>
          <w:kern w:val="0"/>
          <w:szCs w:val="21"/>
        </w:rPr>
        <w:t>本书出自《纽约时报》畅销教育专家之手，为应对课堂行为挑战提供革命性指导，明确区分</w:t>
      </w:r>
      <w:r>
        <w:rPr>
          <w:rFonts w:hint="eastAsia"/>
          <w:bCs/>
          <w:kern w:val="0"/>
          <w:szCs w:val="21"/>
          <w:lang w:eastAsia="zh-CN"/>
        </w:rPr>
        <w:t>“</w:t>
      </w:r>
      <w:r>
        <w:rPr>
          <w:rFonts w:hint="eastAsia"/>
          <w:bCs/>
          <w:kern w:val="0"/>
          <w:szCs w:val="21"/>
        </w:rPr>
        <w:t>危机处理</w:t>
      </w:r>
      <w:r>
        <w:rPr>
          <w:rFonts w:hint="eastAsia"/>
          <w:bCs/>
          <w:kern w:val="0"/>
          <w:szCs w:val="21"/>
          <w:lang w:eastAsia="zh-CN"/>
        </w:rPr>
        <w:t>”</w:t>
      </w:r>
      <w:r>
        <w:rPr>
          <w:rFonts w:hint="eastAsia"/>
          <w:bCs/>
          <w:kern w:val="0"/>
          <w:szCs w:val="21"/>
        </w:rPr>
        <w:t>与</w:t>
      </w:r>
      <w:r>
        <w:rPr>
          <w:rFonts w:hint="eastAsia"/>
          <w:bCs/>
          <w:kern w:val="0"/>
          <w:szCs w:val="21"/>
          <w:lang w:eastAsia="zh-CN"/>
        </w:rPr>
        <w:t>“</w:t>
      </w:r>
      <w:r>
        <w:rPr>
          <w:rFonts w:hint="eastAsia"/>
          <w:bCs/>
          <w:kern w:val="0"/>
          <w:szCs w:val="21"/>
        </w:rPr>
        <w:t>危机预防</w:t>
      </w:r>
      <w:r>
        <w:rPr>
          <w:rFonts w:hint="eastAsia"/>
          <w:bCs/>
          <w:kern w:val="0"/>
          <w:szCs w:val="21"/>
          <w:lang w:eastAsia="zh-CN"/>
        </w:rPr>
        <w:t>”</w:t>
      </w:r>
      <w:r>
        <w:rPr>
          <w:rFonts w:hint="eastAsia"/>
          <w:bCs/>
          <w:kern w:val="0"/>
          <w:szCs w:val="21"/>
        </w:rPr>
        <w:t>——这一视角转变将彻底改善弱势学生及其教育者的校园体验。</w:t>
      </w:r>
    </w:p>
    <w:p w14:paraId="7273E39F">
      <w:pPr>
        <w:rPr>
          <w:rFonts w:hint="eastAsia"/>
          <w:bCs/>
          <w:kern w:val="0"/>
          <w:szCs w:val="21"/>
        </w:rPr>
      </w:pPr>
    </w:p>
    <w:p w14:paraId="4C3E7F66">
      <w:pPr>
        <w:ind w:firstLine="420" w:firstLineChars="200"/>
        <w:rPr>
          <w:rFonts w:hint="eastAsia"/>
          <w:bCs/>
          <w:kern w:val="0"/>
          <w:szCs w:val="21"/>
        </w:rPr>
      </w:pPr>
      <w:r>
        <w:rPr>
          <w:rFonts w:hint="eastAsia"/>
          <w:bCs/>
          <w:kern w:val="0"/>
          <w:szCs w:val="21"/>
        </w:rPr>
        <w:t>数十年来，教育者被教导用</w:t>
      </w:r>
      <w:r>
        <w:rPr>
          <w:rFonts w:hint="eastAsia"/>
          <w:bCs/>
          <w:kern w:val="0"/>
          <w:szCs w:val="21"/>
          <w:lang w:eastAsia="zh-CN"/>
        </w:rPr>
        <w:t>“</w:t>
      </w:r>
      <w:r>
        <w:rPr>
          <w:rFonts w:hint="eastAsia"/>
          <w:bCs/>
          <w:kern w:val="0"/>
          <w:szCs w:val="21"/>
        </w:rPr>
        <w:t>降级策略</w:t>
      </w:r>
      <w:r>
        <w:rPr>
          <w:rFonts w:hint="eastAsia"/>
          <w:bCs/>
          <w:kern w:val="0"/>
          <w:szCs w:val="21"/>
          <w:lang w:eastAsia="zh-CN"/>
        </w:rPr>
        <w:t>”</w:t>
      </w:r>
      <w:r>
        <w:rPr>
          <w:rFonts w:hint="eastAsia"/>
          <w:bCs/>
          <w:kern w:val="0"/>
          <w:szCs w:val="21"/>
        </w:rPr>
        <w:t>应对行为问题，若无效则采取约束或隔离措施。传统观点声称这是为了</w:t>
      </w:r>
      <w:r>
        <w:rPr>
          <w:rFonts w:hint="eastAsia"/>
          <w:bCs/>
          <w:kern w:val="0"/>
          <w:szCs w:val="21"/>
          <w:lang w:eastAsia="zh-CN"/>
        </w:rPr>
        <w:t>“</w:t>
      </w:r>
      <w:r>
        <w:rPr>
          <w:rFonts w:hint="eastAsia"/>
          <w:bCs/>
          <w:kern w:val="0"/>
          <w:szCs w:val="21"/>
        </w:rPr>
        <w:t>预防危机</w:t>
      </w:r>
      <w:r>
        <w:rPr>
          <w:rFonts w:hint="eastAsia"/>
          <w:bCs/>
          <w:kern w:val="0"/>
          <w:szCs w:val="21"/>
          <w:lang w:eastAsia="zh-CN"/>
        </w:rPr>
        <w:t>”</w:t>
      </w:r>
      <w:r>
        <w:rPr>
          <w:rFonts w:hint="eastAsia"/>
          <w:bCs/>
          <w:kern w:val="0"/>
          <w:szCs w:val="21"/>
        </w:rPr>
        <w:t>，保护学生、同学及教育者的安全。此类培训是许多学校系统的标配，更是特殊教育课堂的常规操作。</w:t>
      </w:r>
    </w:p>
    <w:p w14:paraId="725DEA33">
      <w:pPr>
        <w:rPr>
          <w:rFonts w:hint="eastAsia"/>
          <w:bCs/>
          <w:kern w:val="0"/>
          <w:szCs w:val="21"/>
        </w:rPr>
      </w:pPr>
    </w:p>
    <w:p w14:paraId="59EC24D7">
      <w:pPr>
        <w:ind w:firstLine="420" w:firstLineChars="200"/>
        <w:rPr>
          <w:rFonts w:hint="eastAsia"/>
          <w:bCs/>
          <w:kern w:val="0"/>
          <w:szCs w:val="21"/>
        </w:rPr>
      </w:pPr>
      <w:r>
        <w:rPr>
          <w:rFonts w:hint="eastAsia"/>
          <w:bCs/>
          <w:kern w:val="0"/>
          <w:szCs w:val="21"/>
        </w:rPr>
        <w:t>但问题在于：不仅没有研究表明约束与隔离能使教室更安全，这些手段反而让最脆弱的孩子面临伤害甚至死亡风险。更荒谬的是，这些策略根本称不上</w:t>
      </w:r>
      <w:r>
        <w:rPr>
          <w:rFonts w:hint="eastAsia"/>
          <w:bCs/>
          <w:kern w:val="0"/>
          <w:szCs w:val="21"/>
          <w:lang w:eastAsia="zh-CN"/>
        </w:rPr>
        <w:t>“</w:t>
      </w:r>
      <w:r>
        <w:rPr>
          <w:rFonts w:hint="eastAsia"/>
          <w:bCs/>
          <w:kern w:val="0"/>
          <w:szCs w:val="21"/>
        </w:rPr>
        <w:t>危机预防</w:t>
      </w:r>
      <w:r>
        <w:rPr>
          <w:rFonts w:hint="eastAsia"/>
          <w:bCs/>
          <w:kern w:val="0"/>
          <w:szCs w:val="21"/>
          <w:lang w:eastAsia="zh-CN"/>
        </w:rPr>
        <w:t>”</w:t>
      </w:r>
      <w:r>
        <w:rPr>
          <w:rFonts w:hint="eastAsia"/>
          <w:bCs/>
          <w:kern w:val="0"/>
          <w:szCs w:val="21"/>
        </w:rPr>
        <w:t>，因为它们总在事件链末端才介入，治标不治本。症结在于</w:t>
      </w:r>
      <w:r>
        <w:rPr>
          <w:rFonts w:hint="eastAsia"/>
          <w:bCs/>
          <w:kern w:val="0"/>
          <w:szCs w:val="21"/>
          <w:lang w:eastAsia="zh-CN"/>
        </w:rPr>
        <w:t>：</w:t>
      </w:r>
      <w:r>
        <w:rPr>
          <w:rFonts w:hint="eastAsia"/>
          <w:bCs/>
          <w:kern w:val="0"/>
          <w:szCs w:val="21"/>
        </w:rPr>
        <w:t>大多数教育者并不知道替代方案。</w:t>
      </w:r>
    </w:p>
    <w:p w14:paraId="5AC4A618">
      <w:pPr>
        <w:rPr>
          <w:rFonts w:hint="eastAsia"/>
          <w:bCs/>
          <w:kern w:val="0"/>
          <w:szCs w:val="21"/>
        </w:rPr>
      </w:pPr>
    </w:p>
    <w:p w14:paraId="7FD6ADE5">
      <w:pPr>
        <w:ind w:firstLine="420" w:firstLineChars="200"/>
        <w:rPr>
          <w:rFonts w:hint="eastAsia"/>
          <w:bCs/>
          <w:kern w:val="0"/>
          <w:szCs w:val="21"/>
        </w:rPr>
      </w:pPr>
      <w:r>
        <w:rPr>
          <w:rFonts w:hint="eastAsia"/>
          <w:bCs/>
          <w:kern w:val="0"/>
          <w:szCs w:val="21"/>
        </w:rPr>
        <w:t>《每一个孩子都需要被看见》给出了答案。在这本重要著作中，罗斯·W·格林博士（Ross W. Greene, Ph.D.）厘清了</w:t>
      </w:r>
      <w:r>
        <w:rPr>
          <w:rFonts w:hint="eastAsia"/>
          <w:bCs/>
          <w:kern w:val="0"/>
          <w:szCs w:val="21"/>
          <w:lang w:eastAsia="zh-CN"/>
        </w:rPr>
        <w:t>“</w:t>
      </w:r>
      <w:r>
        <w:rPr>
          <w:rFonts w:hint="eastAsia"/>
          <w:bCs/>
          <w:kern w:val="0"/>
          <w:szCs w:val="21"/>
        </w:rPr>
        <w:t>危机处理</w:t>
      </w:r>
      <w:r>
        <w:rPr>
          <w:rFonts w:hint="eastAsia"/>
          <w:bCs/>
          <w:kern w:val="0"/>
          <w:szCs w:val="21"/>
          <w:lang w:eastAsia="zh-CN"/>
        </w:rPr>
        <w:t>”</w:t>
      </w:r>
      <w:r>
        <w:rPr>
          <w:rFonts w:hint="eastAsia"/>
          <w:bCs/>
          <w:kern w:val="0"/>
          <w:szCs w:val="21"/>
        </w:rPr>
        <w:t>（如降级策略）与真正的</w:t>
      </w:r>
      <w:r>
        <w:rPr>
          <w:rFonts w:hint="eastAsia"/>
          <w:bCs/>
          <w:kern w:val="0"/>
          <w:szCs w:val="21"/>
          <w:lang w:eastAsia="zh-CN"/>
        </w:rPr>
        <w:t>“</w:t>
      </w:r>
      <w:r>
        <w:rPr>
          <w:rFonts w:hint="eastAsia"/>
          <w:bCs/>
          <w:kern w:val="0"/>
          <w:szCs w:val="21"/>
        </w:rPr>
        <w:t>危机预防</w:t>
      </w:r>
      <w:r>
        <w:rPr>
          <w:rFonts w:hint="eastAsia"/>
          <w:bCs/>
          <w:kern w:val="0"/>
          <w:szCs w:val="21"/>
          <w:lang w:eastAsia="zh-CN"/>
        </w:rPr>
        <w:t>”</w:t>
      </w:r>
      <w:r>
        <w:rPr>
          <w:rFonts w:hint="eastAsia"/>
          <w:bCs/>
          <w:kern w:val="0"/>
          <w:szCs w:val="21"/>
        </w:rPr>
        <w:t>之别。格林博士指出，标准化课堂评估体系忽视了学生发展的天然差异性，导致教育者难以因材施教。他揭示：危机时刻实际可预测，根源在于长期未被满足的期望。当成人发现学生无法达到预期时，往往施压要求其完成本就力不能及的任务，进而触发问题行为——这些行为本质上是学生的</w:t>
      </w:r>
      <w:r>
        <w:rPr>
          <w:rFonts w:hint="eastAsia"/>
          <w:bCs/>
          <w:kern w:val="0"/>
          <w:szCs w:val="21"/>
          <w:lang w:eastAsia="zh-CN"/>
        </w:rPr>
        <w:t>“</w:t>
      </w:r>
      <w:r>
        <w:rPr>
          <w:rFonts w:hint="eastAsia"/>
          <w:bCs/>
          <w:kern w:val="0"/>
          <w:szCs w:val="21"/>
        </w:rPr>
        <w:t>挫折反应</w:t>
      </w:r>
      <w:r>
        <w:rPr>
          <w:rFonts w:hint="eastAsia"/>
          <w:bCs/>
          <w:kern w:val="0"/>
          <w:szCs w:val="21"/>
          <w:lang w:eastAsia="zh-CN"/>
        </w:rPr>
        <w:t>”</w:t>
      </w:r>
      <w:r>
        <w:rPr>
          <w:rFonts w:hint="eastAsia"/>
          <w:bCs/>
          <w:kern w:val="0"/>
          <w:szCs w:val="21"/>
        </w:rPr>
        <w:t>。若真正做好危机预防，约束与隔离既无必要也不合理。</w:t>
      </w:r>
    </w:p>
    <w:p w14:paraId="39CAB42F">
      <w:pPr>
        <w:rPr>
          <w:rFonts w:hint="eastAsia"/>
          <w:bCs/>
          <w:kern w:val="0"/>
          <w:szCs w:val="21"/>
        </w:rPr>
      </w:pPr>
    </w:p>
    <w:p w14:paraId="3A7CD33D">
      <w:pPr>
        <w:ind w:firstLine="420" w:firstLineChars="200"/>
        <w:rPr>
          <w:rFonts w:hint="eastAsia"/>
          <w:bCs/>
          <w:kern w:val="0"/>
          <w:szCs w:val="21"/>
        </w:rPr>
      </w:pPr>
      <w:r>
        <w:rPr>
          <w:rFonts w:hint="eastAsia"/>
          <w:bCs/>
          <w:kern w:val="0"/>
          <w:szCs w:val="21"/>
        </w:rPr>
        <w:t>本书为教育者与管理者提供系统性指南，涵盖校园组织、实践方法、文书政策等全方位改革。从期望管理、学生情绪稳定，到校园文化、制度政策及公平倡议的影响，本书逐一剖析。它直指传统教育学的缺陷、新冠疫情暴露的短板、危机处理背后的利益链条，以及善意可能导致的误区。书中包含真实案例与作者校园实践，这本实用手册有望切实改变弱势学生及其教育者的日常——让一切变得更好。</w:t>
      </w:r>
    </w:p>
    <w:p w14:paraId="164ED548">
      <w:pPr>
        <w:rPr>
          <w:rFonts w:hint="eastAsia"/>
          <w:bCs/>
          <w:kern w:val="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054D9645">
      <w:pPr>
        <w:ind w:right="420" w:firstLine="422" w:firstLineChars="200"/>
        <w:rPr>
          <w:rFonts w:hint="default"/>
          <w:b w:val="0"/>
          <w:bCs w:val="0"/>
          <w:color w:val="000000"/>
          <w:szCs w:val="21"/>
          <w:lang w:val="en-US" w:eastAsia="zh-CN"/>
        </w:rPr>
      </w:pPr>
      <w:r>
        <w:rPr>
          <w:rFonts w:hint="eastAsia"/>
          <w:b/>
          <w:bCs/>
          <w:color w:val="000000"/>
          <w:szCs w:val="21"/>
          <w:lang w:val="en-US" w:eastAsia="zh-CN"/>
        </w:rPr>
        <w:t>罗斯·W·格林博士（</w:t>
      </w:r>
      <w:r>
        <w:rPr>
          <w:rFonts w:hint="eastAsia"/>
          <w:b/>
          <w:bCs/>
          <w:color w:val="000000"/>
          <w:szCs w:val="21"/>
          <w:highlight w:val="none"/>
        </w:rPr>
        <w:t>Ross W. Greene</w:t>
      </w:r>
      <w:r>
        <w:rPr>
          <w:rFonts w:hint="eastAsia"/>
          <w:b/>
          <w:bCs/>
          <w:color w:val="000000"/>
          <w:szCs w:val="21"/>
          <w:lang w:val="en-US" w:eastAsia="zh-CN"/>
        </w:rPr>
        <w:t>）</w:t>
      </w:r>
      <w:r>
        <w:rPr>
          <w:rFonts w:hint="eastAsia"/>
          <w:b w:val="0"/>
          <w:bCs w:val="0"/>
          <w:color w:val="000000"/>
          <w:szCs w:val="21"/>
          <w:lang w:val="en-US" w:eastAsia="zh-CN"/>
        </w:rPr>
        <w:t>是临床心理学家，开创了基于实证的创新方法“合作主动解决方案”（Collaborative &amp; Proactive Solutions, CPS），其思想体现在《暴怒小孩》《迷途校园》《失而复得》《养育人类》等著作中。他还策划制作了获奖纪录片《被放弃的孩子》（2018年上映）。格林博士在哈佛医学院任教逾20年，现为非营利组织“生命的天平”创始主任，同时兼任弗吉尼亚理工大学心理学系客座教授及悉尼科技大学理学院客座教授。他曾帮助数千名问题行为儿童及其教育者，并与同事将CPS模式推广至无数学校、精神科病房、少管所，成效显著：再犯率、纪律处分、禁闭、停学及约束隔离使用率大幅下降。格林博士全球讲学，现居缅因州弗里波特。</w:t>
      </w:r>
    </w:p>
    <w:p w14:paraId="362B0A82">
      <w:pPr>
        <w:ind w:right="420"/>
        <w:jc w:val="both"/>
        <w:rPr>
          <w:rFonts w:hint="default"/>
          <w:b w:val="0"/>
          <w:bCs w:val="0"/>
          <w:color w:val="000000"/>
          <w:szCs w:val="21"/>
          <w:lang w:val="en-US" w:eastAsia="zh-CN"/>
        </w:rPr>
      </w:pPr>
    </w:p>
    <w:p w14:paraId="4CC1BA0E">
      <w:pPr>
        <w:ind w:right="420" w:firstLine="420" w:firstLineChars="200"/>
        <w:jc w:val="right"/>
        <w:rPr>
          <w:rFonts w:hint="default"/>
          <w:b w:val="0"/>
          <w:bCs w:val="0"/>
          <w:color w:val="000000"/>
          <w:szCs w:val="21"/>
          <w:lang w:val="en-US" w:eastAsia="zh-CN"/>
        </w:rPr>
      </w:pPr>
    </w:p>
    <w:p w14:paraId="44AF84D8">
      <w:pPr>
        <w:ind w:right="420"/>
        <w:jc w:val="center"/>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jc w:val="center"/>
        <w:rPr>
          <w:b/>
          <w:bCs/>
          <w:color w:val="000000"/>
          <w:szCs w:val="21"/>
        </w:rPr>
      </w:pPr>
    </w:p>
    <w:p w14:paraId="12C7D729">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引言</w:t>
      </w:r>
    </w:p>
    <w:p w14:paraId="41735BDC">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第1章 当今孩子怎么了？</w:t>
      </w:r>
    </w:p>
    <w:p w14:paraId="2C667013">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第2章 因材施教</w:t>
      </w:r>
    </w:p>
    <w:p w14:paraId="6A2F91FF">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第3章 越早越好</w:t>
      </w:r>
    </w:p>
    <w:p w14:paraId="59E8FD4A">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第4章 溯流而上</w:t>
      </w:r>
    </w:p>
    <w:p w14:paraId="0F4BC647">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第5章 协作解决问题</w:t>
      </w:r>
    </w:p>
    <w:p w14:paraId="13422376">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第6章 让马重新拉车（回归本质）</w:t>
      </w:r>
    </w:p>
    <w:p w14:paraId="0F77DB49">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第7章 关于B计划的疑问</w:t>
      </w:r>
    </w:p>
    <w:p w14:paraId="7DA2121A">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第8章 案例研究</w:t>
      </w:r>
    </w:p>
    <w:p w14:paraId="056D42B6">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第9章 证据说话</w:t>
      </w:r>
    </w:p>
    <w:p w14:paraId="1CA4E287">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第10章 特殊学校与限制性治疗机构的启示</w:t>
      </w:r>
    </w:p>
    <w:p w14:paraId="2820A443">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第11章 这是你的学校</w:t>
      </w:r>
    </w:p>
    <w:p w14:paraId="4B470CCA">
      <w:pPr>
        <w:tabs>
          <w:tab w:val="left" w:pos="641"/>
        </w:tabs>
        <w:ind w:right="420"/>
        <w:rPr>
          <w:rFonts w:hint="eastAsia"/>
          <w:b w:val="0"/>
          <w:bCs w:val="0"/>
          <w:color w:val="000000"/>
          <w:szCs w:val="21"/>
          <w:lang w:val="en-US" w:eastAsia="zh-CN"/>
        </w:rPr>
      </w:pPr>
    </w:p>
    <w:p w14:paraId="2E17DBE7">
      <w:pPr>
        <w:tabs>
          <w:tab w:val="left" w:pos="641"/>
        </w:tabs>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3"/>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3"/>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75B09F4"/>
    <w:rsid w:val="0A8F3F31"/>
    <w:rsid w:val="0AC20A24"/>
    <w:rsid w:val="0C0008F4"/>
    <w:rsid w:val="0C3C7AF6"/>
    <w:rsid w:val="0E6A6913"/>
    <w:rsid w:val="0F3E0224"/>
    <w:rsid w:val="1BA86C22"/>
    <w:rsid w:val="2C0B6F0E"/>
    <w:rsid w:val="2CB75CA1"/>
    <w:rsid w:val="2DA34CE1"/>
    <w:rsid w:val="3AE04ADC"/>
    <w:rsid w:val="3C1934F8"/>
    <w:rsid w:val="3E8A3AD1"/>
    <w:rsid w:val="432C279F"/>
    <w:rsid w:val="46B43896"/>
    <w:rsid w:val="4C156891"/>
    <w:rsid w:val="4EC026FE"/>
    <w:rsid w:val="5B1B417E"/>
    <w:rsid w:val="60B3492E"/>
    <w:rsid w:val="68EE2E29"/>
    <w:rsid w:val="6AEB37C3"/>
    <w:rsid w:val="6F6B6F3F"/>
    <w:rsid w:val="7358699A"/>
    <w:rsid w:val="73FC1536"/>
    <w:rsid w:val="745C18C4"/>
    <w:rsid w:val="756C1B13"/>
    <w:rsid w:val="75801231"/>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paragraph" w:customStyle="1" w:styleId="17">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8">
    <w:name w:val="Tipsheet Title"/>
    <w:basedOn w:val="1"/>
    <w:link w:val="19"/>
    <w:qFormat/>
    <w:uiPriority w:val="0"/>
    <w:pPr>
      <w:widowControl/>
      <w:jc w:val="left"/>
    </w:pPr>
    <w:rPr>
      <w:rFonts w:ascii="Calibri" w:hAnsi="Calibri"/>
      <w:b/>
      <w:bCs/>
      <w:kern w:val="0"/>
      <w:sz w:val="28"/>
      <w:szCs w:val="16"/>
      <w:lang w:eastAsia="en-US"/>
    </w:rPr>
  </w:style>
  <w:style w:type="character" w:customStyle="1" w:styleId="19">
    <w:name w:val="Tipsheet Title Char"/>
    <w:link w:val="18"/>
    <w:qFormat/>
    <w:uiPriority w:val="0"/>
    <w:rPr>
      <w:rFonts w:ascii="Calibri" w:hAnsi="Calibri" w:cs="Calibri"/>
      <w:b/>
      <w:bCs/>
      <w:sz w:val="28"/>
      <w:szCs w:val="16"/>
      <w:lang w:eastAsia="en-US"/>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1353</Words>
  <Characters>1770</Characters>
  <Lines>25</Lines>
  <Paragraphs>7</Paragraphs>
  <TotalTime>12</TotalTime>
  <ScaleCrop>false</ScaleCrop>
  <LinksUpToDate>false</LinksUpToDate>
  <CharactersWithSpaces>1827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2025-08-27T01:52:32Z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