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E3" w:rsidRDefault="00E166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33CE3" w:rsidRDefault="00D33CE3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10795</wp:posOffset>
            </wp:positionV>
            <wp:extent cx="1421765" cy="2160270"/>
            <wp:effectExtent l="0" t="0" r="10795" b="3810"/>
            <wp:wrapTight wrapText="bothSides">
              <wp:wrapPolygon edited="0">
                <wp:start x="0" y="0"/>
                <wp:lineTo x="0" y="21486"/>
                <wp:lineTo x="21301" y="21486"/>
                <wp:lineTo x="21301" y="0"/>
                <wp:lineTo x="0" y="0"/>
              </wp:wrapPolygon>
            </wp:wrapTight>
            <wp:docPr id="7" name="图片 7" descr="6160mUj7xfL._SL1500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60mUj7xfL._SL1500_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C05525">
        <w:rPr>
          <w:rFonts w:hint="eastAsia"/>
          <w:b/>
          <w:bCs/>
          <w:color w:val="000000"/>
          <w:szCs w:val="21"/>
        </w:rPr>
        <w:t>当最后一位女士离场：男性对女性的真实看法</w:t>
      </w:r>
      <w:r w:rsidR="00C05525" w:rsidRPr="00C05525">
        <w:rPr>
          <w:rFonts w:hint="eastAsia"/>
          <w:b/>
          <w:bCs/>
          <w:color w:val="000000"/>
          <w:szCs w:val="21"/>
        </w:rPr>
        <w:t>》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When the Last Woman Leaves: What Men Really Think About </w:t>
      </w:r>
      <w:proofErr w:type="gramStart"/>
      <w:r>
        <w:rPr>
          <w:rFonts w:hint="eastAsia"/>
          <w:b/>
          <w:bCs/>
          <w:color w:val="000000"/>
          <w:szCs w:val="21"/>
        </w:rPr>
        <w:t>Women</w:t>
      </w:r>
      <w:proofErr w:type="gramEnd"/>
      <w:r>
        <w:rPr>
          <w:rFonts w:hint="eastAsia"/>
          <w:b/>
          <w:bCs/>
          <w:color w:val="000000"/>
          <w:szCs w:val="21"/>
        </w:rPr>
        <w:t xml:space="preserve"> 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proofErr w:type="spellStart"/>
      <w:r w:rsidR="00113DB2" w:rsidRPr="00113DB2">
        <w:rPr>
          <w:b/>
          <w:bCs/>
          <w:color w:val="000000"/>
          <w:szCs w:val="21"/>
        </w:rPr>
        <w:t>Wenn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die </w:t>
      </w:r>
      <w:proofErr w:type="spellStart"/>
      <w:r w:rsidR="00113DB2" w:rsidRPr="00113DB2">
        <w:rPr>
          <w:b/>
          <w:bCs/>
          <w:color w:val="000000"/>
          <w:szCs w:val="21"/>
        </w:rPr>
        <w:t>letzte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Frau den </w:t>
      </w:r>
      <w:proofErr w:type="spellStart"/>
      <w:r w:rsidR="00113DB2" w:rsidRPr="00113DB2">
        <w:rPr>
          <w:b/>
          <w:bCs/>
          <w:color w:val="000000"/>
          <w:szCs w:val="21"/>
        </w:rPr>
        <w:t>Raum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</w:t>
      </w:r>
      <w:proofErr w:type="spellStart"/>
      <w:r w:rsidR="00113DB2" w:rsidRPr="00113DB2">
        <w:rPr>
          <w:b/>
          <w:bCs/>
          <w:color w:val="000000"/>
          <w:szCs w:val="21"/>
        </w:rPr>
        <w:t>verlässt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: Was </w:t>
      </w:r>
      <w:proofErr w:type="spellStart"/>
      <w:r w:rsidR="00113DB2" w:rsidRPr="00113DB2">
        <w:rPr>
          <w:b/>
          <w:bCs/>
          <w:color w:val="000000"/>
          <w:szCs w:val="21"/>
        </w:rPr>
        <w:t>Männer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</w:t>
      </w:r>
      <w:proofErr w:type="spellStart"/>
      <w:r w:rsidR="00113DB2" w:rsidRPr="00113DB2">
        <w:rPr>
          <w:b/>
          <w:bCs/>
          <w:color w:val="000000"/>
          <w:szCs w:val="21"/>
        </w:rPr>
        <w:t>wirklich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</w:t>
      </w:r>
      <w:proofErr w:type="spellStart"/>
      <w:r w:rsidR="00113DB2" w:rsidRPr="00113DB2">
        <w:rPr>
          <w:b/>
          <w:bCs/>
          <w:color w:val="000000"/>
          <w:szCs w:val="21"/>
        </w:rPr>
        <w:t>über</w:t>
      </w:r>
      <w:proofErr w:type="spellEnd"/>
      <w:r w:rsidR="00113DB2" w:rsidRPr="00113DB2">
        <w:rPr>
          <w:b/>
          <w:bCs/>
          <w:color w:val="000000"/>
          <w:szCs w:val="21"/>
        </w:rPr>
        <w:t xml:space="preserve"> Frauen </w:t>
      </w:r>
      <w:proofErr w:type="spellStart"/>
      <w:r w:rsidR="00113DB2" w:rsidRPr="00113DB2">
        <w:rPr>
          <w:b/>
          <w:bCs/>
          <w:color w:val="000000"/>
          <w:szCs w:val="21"/>
        </w:rPr>
        <w:t>denken</w:t>
      </w:r>
      <w:proofErr w:type="spellEnd"/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 w:rsidR="00113DB2">
        <w:rPr>
          <w:rFonts w:hint="eastAsia"/>
          <w:b/>
          <w:bCs/>
          <w:color w:val="000000"/>
          <w:szCs w:val="21"/>
        </w:rPr>
        <w:t>Vincent-Immanuel Herr</w:t>
      </w:r>
      <w:r>
        <w:rPr>
          <w:rFonts w:hint="eastAsia"/>
          <w:b/>
          <w:bCs/>
          <w:color w:val="000000"/>
          <w:szCs w:val="21"/>
        </w:rPr>
        <w:t>, Martin Speer</w:t>
      </w:r>
      <w:r w:rsidR="003A3182">
        <w:rPr>
          <w:b/>
          <w:bCs/>
          <w:color w:val="000000"/>
          <w:szCs w:val="21"/>
        </w:rPr>
        <w:t>, et al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Ullstein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eBooks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Ullstein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250</w:t>
      </w:r>
      <w:r>
        <w:rPr>
          <w:rFonts w:hint="eastAsia"/>
          <w:b/>
          <w:bCs/>
          <w:color w:val="000000"/>
          <w:szCs w:val="21"/>
        </w:rPr>
        <w:t>页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 w:rsidR="00D33CE3" w:rsidRDefault="00E1664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662B8">
        <w:rPr>
          <w:rFonts w:hint="eastAsia"/>
          <w:b/>
          <w:bCs/>
          <w:szCs w:val="21"/>
        </w:rPr>
        <w:t>大众社科</w:t>
      </w:r>
    </w:p>
    <w:p w:rsidR="00D33CE3" w:rsidRDefault="00E166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版权已授：韩国</w:t>
      </w:r>
    </w:p>
    <w:p w:rsidR="00D33CE3" w:rsidRDefault="00D33CE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D33CE3" w:rsidRDefault="00E1664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33CE3" w:rsidRDefault="00D33CE3">
      <w:pPr>
        <w:rPr>
          <w:color w:val="000000"/>
          <w:szCs w:val="21"/>
        </w:rPr>
      </w:pPr>
    </w:p>
    <w:p w:rsidR="00D33CE3" w:rsidRDefault="00E1664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文森特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伊曼纽尔·赫尔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Vincent-Immanuel Herr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与马丁·施佩尔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Martin Speer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时常</w:t>
      </w:r>
      <w:r>
        <w:rPr>
          <w:rFonts w:hint="eastAsia"/>
          <w:color w:val="000000"/>
          <w:szCs w:val="21"/>
        </w:rPr>
        <w:t>参加</w:t>
      </w:r>
      <w:r>
        <w:rPr>
          <w:rFonts w:hint="eastAsia"/>
          <w:color w:val="000000"/>
          <w:szCs w:val="21"/>
        </w:rPr>
        <w:t>纯男性的社交场合。无论是会议室里的正式讨论，还是酒吧中的闲谈，他们总能看到这样的现象：许多男性在反对性别平等议题时格外激动，而父权式的思维与言论依然大行其道。</w:t>
      </w:r>
    </w:p>
    <w:p w:rsidR="00D33CE3" w:rsidRDefault="00D33CE3">
      <w:pPr>
        <w:rPr>
          <w:color w:val="000000"/>
          <w:szCs w:val="21"/>
        </w:rPr>
      </w:pPr>
    </w:p>
    <w:p w:rsidR="00D33CE3" w:rsidRDefault="00E1664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在他们的书中，两人以亲历者的身份，记录了男性群体在私下关于性别歧视、包容性语言和配额制度的真实讨论。通过细致分类不同类型的男性心理，并剖析他们的深层顾虑，作者对诸如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这些性别话题小题大做，我们还有更重要的问题要解决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等常见论调逐一驳斥。由于从未亲身经历过</w:t>
      </w:r>
      <w:r>
        <w:rPr>
          <w:rFonts w:hint="eastAsia"/>
          <w:color w:val="000000"/>
          <w:szCs w:val="21"/>
        </w:rPr>
        <w:t>性别歧视，大多数男性严重低估了这一问题的严重性，甚至当女性呼吁改变时，他们往往认为这是夸大其词或另有所图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本书不仅真实呈现了男性群体的思维困境，更为如何让他们成为性别平等的真正盟友提供了切实可行的建议。</w:t>
      </w:r>
    </w:p>
    <w:p w:rsidR="00D33CE3" w:rsidRDefault="00D33CE3">
      <w:pPr>
        <w:rPr>
          <w:color w:val="000000"/>
          <w:szCs w:val="21"/>
        </w:rPr>
      </w:pPr>
    </w:p>
    <w:p w:rsidR="00C05525" w:rsidRPr="00CF698C" w:rsidRDefault="00C05525">
      <w:pPr>
        <w:rPr>
          <w:b/>
          <w:color w:val="000000"/>
          <w:szCs w:val="21"/>
        </w:rPr>
      </w:pPr>
      <w:r w:rsidRPr="00CF698C">
        <w:rPr>
          <w:b/>
          <w:color w:val="000000"/>
          <w:szCs w:val="21"/>
        </w:rPr>
        <w:t>目录：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序　言　</w:t>
      </w:r>
      <w:r w:rsidRPr="00CF698C">
        <w:rPr>
          <w:rFonts w:hint="eastAsia"/>
          <w:color w:val="000000"/>
          <w:szCs w:val="21"/>
        </w:rPr>
        <w:t>9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第一章　男性与性别平等：一段并不简单的关系　</w:t>
      </w:r>
      <w:r w:rsidRPr="00CF698C">
        <w:rPr>
          <w:rFonts w:hint="eastAsia"/>
          <w:color w:val="000000"/>
          <w:szCs w:val="21"/>
        </w:rPr>
        <w:t>15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男人有话要说　</w:t>
      </w:r>
      <w:r w:rsidRPr="00CF698C">
        <w:rPr>
          <w:color w:val="000000"/>
          <w:szCs w:val="21"/>
        </w:rPr>
        <w:t>18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>男人的“</w:t>
      </w:r>
      <w:r w:rsidRPr="00CF698C">
        <w:rPr>
          <w:color w:val="000000"/>
          <w:szCs w:val="21"/>
        </w:rPr>
        <w:t>1</w:t>
      </w:r>
      <w:r w:rsidRPr="00CF698C">
        <w:rPr>
          <w:rFonts w:hint="eastAsia"/>
          <w:color w:val="000000"/>
          <w:szCs w:val="21"/>
        </w:rPr>
        <w:t>＋</w:t>
      </w:r>
      <w:r w:rsidRPr="00CF698C">
        <w:rPr>
          <w:color w:val="000000"/>
          <w:szCs w:val="21"/>
        </w:rPr>
        <w:t>3”</w:t>
      </w:r>
      <w:r w:rsidRPr="00CF698C">
        <w:rPr>
          <w:rFonts w:hint="eastAsia"/>
          <w:color w:val="000000"/>
          <w:szCs w:val="21"/>
        </w:rPr>
        <w:t xml:space="preserve">挡箭牌　</w:t>
      </w:r>
      <w:r w:rsidRPr="00CF698C">
        <w:rPr>
          <w:color w:val="000000"/>
          <w:szCs w:val="21"/>
        </w:rPr>
        <w:t>21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男人忽视了性别歧视的结构性维度　</w:t>
      </w:r>
      <w:r w:rsidRPr="00CF698C">
        <w:rPr>
          <w:color w:val="000000"/>
          <w:szCs w:val="21"/>
        </w:rPr>
        <w:t>23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  “</w:t>
      </w:r>
      <w:r w:rsidRPr="00CF698C">
        <w:rPr>
          <w:rFonts w:hint="eastAsia"/>
          <w:color w:val="000000"/>
          <w:szCs w:val="21"/>
        </w:rPr>
        <w:t xml:space="preserve">两个世界”模型　</w:t>
      </w:r>
      <w:r w:rsidRPr="00CF698C">
        <w:rPr>
          <w:color w:val="000000"/>
          <w:szCs w:val="21"/>
        </w:rPr>
        <w:t>25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第二章　当最后一位女士离开房间　</w:t>
      </w:r>
      <w:r w:rsidRPr="00CF698C">
        <w:rPr>
          <w:rFonts w:hint="eastAsia"/>
          <w:color w:val="000000"/>
          <w:szCs w:val="21"/>
        </w:rPr>
        <w:t>35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我们典型的“安全空间”　</w:t>
      </w:r>
      <w:r w:rsidRPr="00CF698C">
        <w:rPr>
          <w:color w:val="000000"/>
          <w:szCs w:val="21"/>
        </w:rPr>
        <w:t>35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男人语录阅读指南　</w:t>
      </w:r>
      <w:r w:rsidRPr="00CF698C">
        <w:rPr>
          <w:color w:val="000000"/>
          <w:szCs w:val="21"/>
        </w:rPr>
        <w:t>38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欢迎来到男人世界　</w:t>
      </w:r>
      <w:r w:rsidRPr="00CF698C">
        <w:rPr>
          <w:color w:val="000000"/>
          <w:szCs w:val="21"/>
        </w:rPr>
        <w:t>41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>类型</w:t>
      </w:r>
      <w:proofErr w:type="gramStart"/>
      <w:r w:rsidRPr="00CF698C">
        <w:rPr>
          <w:rFonts w:hint="eastAsia"/>
          <w:color w:val="000000"/>
          <w:szCs w:val="21"/>
        </w:rPr>
        <w:t>一</w:t>
      </w:r>
      <w:proofErr w:type="gramEnd"/>
      <w:r w:rsidRPr="00CF698C">
        <w:rPr>
          <w:rFonts w:hint="eastAsia"/>
          <w:color w:val="000000"/>
          <w:szCs w:val="21"/>
        </w:rPr>
        <w:t>：阿</w:t>
      </w:r>
      <w:proofErr w:type="gramStart"/>
      <w:r w:rsidRPr="00CF698C">
        <w:rPr>
          <w:rFonts w:hint="eastAsia"/>
          <w:color w:val="000000"/>
          <w:szCs w:val="21"/>
        </w:rPr>
        <w:t>尔法男</w:t>
      </w:r>
      <w:proofErr w:type="gramEnd"/>
      <w:r w:rsidRPr="00CF698C">
        <w:rPr>
          <w:rFonts w:hint="eastAsia"/>
          <w:color w:val="000000"/>
          <w:szCs w:val="21"/>
        </w:rPr>
        <w:t xml:space="preserve">　</w:t>
      </w:r>
      <w:r w:rsidRPr="00CF698C">
        <w:rPr>
          <w:color w:val="000000"/>
          <w:szCs w:val="21"/>
        </w:rPr>
        <w:t>42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类型二：不安男　</w:t>
      </w:r>
      <w:r w:rsidRPr="00CF698C">
        <w:rPr>
          <w:color w:val="000000"/>
          <w:szCs w:val="21"/>
        </w:rPr>
        <w:t>57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lastRenderedPageBreak/>
        <w:t>  </w:t>
      </w:r>
      <w:r w:rsidRPr="00CF698C">
        <w:rPr>
          <w:rFonts w:hint="eastAsia"/>
          <w:color w:val="000000"/>
          <w:szCs w:val="21"/>
        </w:rPr>
        <w:t xml:space="preserve">类型三：数据男　</w:t>
      </w:r>
      <w:r w:rsidRPr="00CF698C">
        <w:rPr>
          <w:color w:val="000000"/>
          <w:szCs w:val="21"/>
        </w:rPr>
        <w:t>72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类型四：性别歧视者　</w:t>
      </w:r>
      <w:r w:rsidRPr="00CF698C">
        <w:rPr>
          <w:color w:val="000000"/>
          <w:szCs w:val="21"/>
        </w:rPr>
        <w:t>87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类型五：反女权者　</w:t>
      </w:r>
      <w:r w:rsidRPr="00CF698C">
        <w:rPr>
          <w:color w:val="000000"/>
          <w:szCs w:val="21"/>
        </w:rPr>
        <w:t>100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类型六：伪女权者　</w:t>
      </w:r>
      <w:r w:rsidRPr="00CF698C">
        <w:rPr>
          <w:color w:val="000000"/>
          <w:szCs w:val="21"/>
        </w:rPr>
        <w:t>113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类型七：披着女权外衣的狼　</w:t>
      </w:r>
      <w:r w:rsidRPr="00CF698C">
        <w:rPr>
          <w:color w:val="000000"/>
          <w:szCs w:val="21"/>
        </w:rPr>
        <w:t>123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>类型八：</w:t>
      </w:r>
      <w:proofErr w:type="gramStart"/>
      <w:r w:rsidRPr="00CF698C">
        <w:rPr>
          <w:rFonts w:hint="eastAsia"/>
          <w:color w:val="000000"/>
          <w:szCs w:val="21"/>
        </w:rPr>
        <w:t>私密男</w:t>
      </w:r>
      <w:proofErr w:type="gramEnd"/>
      <w:r w:rsidRPr="00CF698C">
        <w:rPr>
          <w:rFonts w:hint="eastAsia"/>
          <w:color w:val="000000"/>
          <w:szCs w:val="21"/>
        </w:rPr>
        <w:t xml:space="preserve">　</w:t>
      </w:r>
      <w:r w:rsidRPr="00CF698C">
        <w:rPr>
          <w:color w:val="000000"/>
          <w:szCs w:val="21"/>
        </w:rPr>
        <w:t>127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类型九：普通男　</w:t>
      </w:r>
      <w:r w:rsidRPr="00CF698C">
        <w:rPr>
          <w:color w:val="000000"/>
          <w:szCs w:val="21"/>
        </w:rPr>
        <w:t>132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>类型十：</w:t>
      </w:r>
      <w:proofErr w:type="gramStart"/>
      <w:r w:rsidRPr="00CF698C">
        <w:rPr>
          <w:rFonts w:hint="eastAsia"/>
          <w:color w:val="000000"/>
          <w:szCs w:val="21"/>
        </w:rPr>
        <w:t>沉默男</w:t>
      </w:r>
      <w:proofErr w:type="gramEnd"/>
      <w:r w:rsidRPr="00CF698C">
        <w:rPr>
          <w:rFonts w:hint="eastAsia"/>
          <w:color w:val="000000"/>
          <w:szCs w:val="21"/>
        </w:rPr>
        <w:t xml:space="preserve">　</w:t>
      </w:r>
      <w:r w:rsidRPr="00CF698C">
        <w:rPr>
          <w:color w:val="000000"/>
          <w:szCs w:val="21"/>
        </w:rPr>
        <w:t>145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第三章　如何让更多男性成为盟友　</w:t>
      </w:r>
      <w:r w:rsidRPr="00CF698C">
        <w:rPr>
          <w:rFonts w:hint="eastAsia"/>
          <w:color w:val="000000"/>
          <w:szCs w:val="21"/>
        </w:rPr>
        <w:t>149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>结论</w:t>
      </w:r>
      <w:proofErr w:type="gramStart"/>
      <w:r w:rsidRPr="00CF698C">
        <w:rPr>
          <w:rFonts w:hint="eastAsia"/>
          <w:color w:val="000000"/>
          <w:szCs w:val="21"/>
        </w:rPr>
        <w:t>一</w:t>
      </w:r>
      <w:proofErr w:type="gramEnd"/>
      <w:r w:rsidRPr="00CF698C">
        <w:rPr>
          <w:rFonts w:hint="eastAsia"/>
          <w:color w:val="000000"/>
          <w:szCs w:val="21"/>
        </w:rPr>
        <w:t xml:space="preserve">：在平等议题上，男性存在巨大的知识与经验缺口　</w:t>
      </w:r>
      <w:r w:rsidRPr="00CF698C">
        <w:rPr>
          <w:color w:val="000000"/>
          <w:szCs w:val="21"/>
        </w:rPr>
        <w:t>150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结论二：对平等的恐惧远大于男性实际可能遭受的损失　</w:t>
      </w:r>
      <w:r w:rsidRPr="00CF698C">
        <w:rPr>
          <w:color w:val="000000"/>
          <w:szCs w:val="21"/>
        </w:rPr>
        <w:t>157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结论三：男性缺少积极的榜样　</w:t>
      </w:r>
      <w:r w:rsidRPr="00CF698C">
        <w:rPr>
          <w:color w:val="000000"/>
          <w:szCs w:val="21"/>
        </w:rPr>
        <w:t>163</w:t>
      </w:r>
    </w:p>
    <w:p w:rsidR="00CF698C" w:rsidRPr="00CF698C" w:rsidRDefault="00CF698C" w:rsidP="00CF698C">
      <w:pPr>
        <w:rPr>
          <w:color w:val="000000"/>
          <w:szCs w:val="21"/>
        </w:rPr>
      </w:pPr>
      <w:r w:rsidRPr="00CF698C">
        <w:rPr>
          <w:color w:val="000000"/>
          <w:szCs w:val="21"/>
        </w:rPr>
        <w:t>  </w:t>
      </w:r>
      <w:r w:rsidRPr="00CF698C">
        <w:rPr>
          <w:rFonts w:hint="eastAsia"/>
          <w:color w:val="000000"/>
          <w:szCs w:val="21"/>
        </w:rPr>
        <w:t xml:space="preserve">结论四：男性盟友不仅要说，更要付诸具体行动　</w:t>
      </w:r>
      <w:r w:rsidRPr="00CF698C">
        <w:rPr>
          <w:color w:val="000000"/>
          <w:szCs w:val="21"/>
        </w:rPr>
        <w:t>169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致　谢　</w:t>
      </w:r>
      <w:r w:rsidRPr="00CF698C">
        <w:rPr>
          <w:rFonts w:hint="eastAsia"/>
          <w:color w:val="000000"/>
          <w:szCs w:val="21"/>
        </w:rPr>
        <w:t>179</w:t>
      </w:r>
    </w:p>
    <w:p w:rsidR="00CF698C" w:rsidRPr="00CF698C" w:rsidRDefault="00CF698C" w:rsidP="00CF698C">
      <w:pPr>
        <w:rPr>
          <w:rFonts w:hint="eastAsia"/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推荐阅读　</w:t>
      </w:r>
      <w:r w:rsidRPr="00CF698C">
        <w:rPr>
          <w:rFonts w:hint="eastAsia"/>
          <w:color w:val="000000"/>
          <w:szCs w:val="21"/>
        </w:rPr>
        <w:t>183</w:t>
      </w:r>
    </w:p>
    <w:p w:rsidR="00C05525" w:rsidRDefault="00CF698C" w:rsidP="00CF698C">
      <w:pPr>
        <w:rPr>
          <w:color w:val="000000"/>
          <w:szCs w:val="21"/>
        </w:rPr>
      </w:pPr>
      <w:r w:rsidRPr="00CF698C">
        <w:rPr>
          <w:rFonts w:hint="eastAsia"/>
          <w:color w:val="000000"/>
          <w:szCs w:val="21"/>
        </w:rPr>
        <w:t xml:space="preserve">参考文献　</w:t>
      </w:r>
      <w:r w:rsidRPr="00CF698C">
        <w:rPr>
          <w:rFonts w:hint="eastAsia"/>
          <w:color w:val="000000"/>
          <w:szCs w:val="21"/>
        </w:rPr>
        <w:t>187</w:t>
      </w:r>
      <w:bookmarkStart w:id="4" w:name="_GoBack"/>
      <w:bookmarkEnd w:id="4"/>
    </w:p>
    <w:p w:rsidR="00C05525" w:rsidRDefault="00C05525">
      <w:pPr>
        <w:rPr>
          <w:rFonts w:hint="eastAsia"/>
          <w:color w:val="000000"/>
          <w:szCs w:val="21"/>
        </w:rPr>
      </w:pPr>
    </w:p>
    <w:p w:rsidR="00D33CE3" w:rsidRDefault="00E1664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D33CE3" w:rsidRDefault="00E16643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170815</wp:posOffset>
            </wp:positionV>
            <wp:extent cx="798830" cy="798830"/>
            <wp:effectExtent l="0" t="0" r="8890" b="889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8" name="图片 8" descr="5kj32f25321mgat5bvk8g372da._SY450_CR112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kj32f25321mgat5bvk8g372da._SY450_CR112,0,450,45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CE3" w:rsidRDefault="00E16643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文森特</w:t>
      </w:r>
      <w:r>
        <w:rPr>
          <w:rFonts w:hint="eastAsia"/>
          <w:b/>
          <w:bCs/>
          <w:kern w:val="0"/>
          <w:szCs w:val="21"/>
        </w:rPr>
        <w:t>-</w:t>
      </w:r>
      <w:r>
        <w:rPr>
          <w:rFonts w:hint="eastAsia"/>
          <w:b/>
          <w:bCs/>
          <w:kern w:val="0"/>
          <w:szCs w:val="21"/>
        </w:rPr>
        <w:t>伊曼纽尔·赫尔（</w:t>
      </w:r>
      <w:r>
        <w:rPr>
          <w:rFonts w:hint="eastAsia"/>
          <w:b/>
          <w:bCs/>
          <w:kern w:val="0"/>
          <w:szCs w:val="21"/>
        </w:rPr>
        <w:t>Vincent-Immanuel Herr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德国作家、社会活动家与性别平等倡导者。他以其敏锐的社会洞察力和富有建设性的批判思维闻名，尤其关注男性在性别议题中的角色转变。作为顾问和演说家，他致力于推动男性参与女权主义对话，并</w:t>
      </w:r>
      <w:r>
        <w:rPr>
          <w:rFonts w:hint="eastAsia"/>
          <w:kern w:val="0"/>
          <w:szCs w:val="21"/>
        </w:rPr>
        <w:t>积极</w:t>
      </w:r>
      <w:r>
        <w:rPr>
          <w:rFonts w:hint="eastAsia"/>
          <w:kern w:val="0"/>
          <w:szCs w:val="21"/>
        </w:rPr>
        <w:t>探索打破传统性别观念的桎梏</w:t>
      </w:r>
      <w:r>
        <w:rPr>
          <w:rFonts w:hint="eastAsia"/>
          <w:kern w:val="0"/>
          <w:szCs w:val="21"/>
        </w:rPr>
        <w:t>的方法</w:t>
      </w:r>
      <w:r>
        <w:rPr>
          <w:rFonts w:hint="eastAsia"/>
          <w:kern w:val="0"/>
          <w:szCs w:val="21"/>
        </w:rPr>
        <w:t>。</w:t>
      </w:r>
    </w:p>
    <w:p w:rsidR="00D33CE3" w:rsidRDefault="00D33CE3" w:rsidP="00C05525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D33CE3" w:rsidRDefault="00E16643">
      <w:pPr>
        <w:autoSpaceDE w:val="0"/>
        <w:autoSpaceDN w:val="0"/>
        <w:adjustRightInd w:val="0"/>
        <w:ind w:firstLineChars="200" w:firstLine="480"/>
        <w:rPr>
          <w:b/>
          <w:bCs/>
          <w:kern w:val="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187325</wp:posOffset>
            </wp:positionV>
            <wp:extent cx="760730" cy="760095"/>
            <wp:effectExtent l="0" t="0" r="1270" b="1905"/>
            <wp:wrapTight wrapText="bothSides">
              <wp:wrapPolygon edited="0">
                <wp:start x="0" y="0"/>
                <wp:lineTo x="0" y="21221"/>
                <wp:lineTo x="21203" y="21221"/>
                <wp:lineTo x="2120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33CE3" w:rsidRDefault="00E16643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马丁·施佩尔（</w:t>
      </w:r>
      <w:r>
        <w:rPr>
          <w:rFonts w:hint="eastAsia"/>
          <w:b/>
          <w:bCs/>
          <w:kern w:val="0"/>
          <w:szCs w:val="21"/>
        </w:rPr>
        <w:t>Martin Speer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，德国作家、社会活动家与性别平等倡导者，施佩尔擅长以数据驱动的分析结合生活化案例，促使男性反思性别特权。他提出的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盟友行动框架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（</w:t>
      </w:r>
      <w:proofErr w:type="spellStart"/>
      <w:r>
        <w:rPr>
          <w:rFonts w:hint="eastAsia"/>
          <w:kern w:val="0"/>
          <w:szCs w:val="21"/>
        </w:rPr>
        <w:t>Allyship</w:t>
      </w:r>
      <w:proofErr w:type="spellEnd"/>
      <w:r>
        <w:rPr>
          <w:rFonts w:hint="eastAsia"/>
          <w:kern w:val="0"/>
          <w:szCs w:val="21"/>
        </w:rPr>
        <w:t xml:space="preserve"> Framework</w:t>
      </w:r>
      <w:r>
        <w:rPr>
          <w:rFonts w:hint="eastAsia"/>
          <w:kern w:val="0"/>
          <w:szCs w:val="21"/>
        </w:rPr>
        <w:t>）被多个欧洲</w:t>
      </w:r>
      <w:r>
        <w:rPr>
          <w:rFonts w:hint="eastAsia"/>
          <w:kern w:val="0"/>
          <w:szCs w:val="21"/>
        </w:rPr>
        <w:t>NGO</w:t>
      </w:r>
      <w:r>
        <w:rPr>
          <w:rFonts w:hint="eastAsia"/>
          <w:kern w:val="0"/>
          <w:szCs w:val="21"/>
        </w:rPr>
        <w:t>采纳，成为男性参与性别平等的实践指南。</w:t>
      </w:r>
    </w:p>
    <w:p w:rsidR="00D33CE3" w:rsidRDefault="00D33CE3">
      <w:pPr>
        <w:autoSpaceDE w:val="0"/>
        <w:autoSpaceDN w:val="0"/>
        <w:adjustRightInd w:val="0"/>
        <w:rPr>
          <w:color w:val="000000"/>
          <w:szCs w:val="21"/>
        </w:rPr>
      </w:pPr>
    </w:p>
    <w:p w:rsidR="00D33CE3" w:rsidRDefault="00E16643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</w:rPr>
        <w:t xml:space="preserve">  </w:t>
      </w:r>
    </w:p>
    <w:p w:rsidR="00D33CE3" w:rsidRDefault="00D33CE3">
      <w:pPr>
        <w:autoSpaceDE w:val="0"/>
        <w:autoSpaceDN w:val="0"/>
        <w:adjustRightInd w:val="0"/>
        <w:rPr>
          <w:bCs/>
        </w:rPr>
      </w:pPr>
    </w:p>
    <w:p w:rsidR="00D33CE3" w:rsidRDefault="00E16643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3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33CE3" w:rsidRDefault="00E166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33CE3" w:rsidRDefault="00E166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D33CE3" w:rsidRDefault="00E166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33CE3" w:rsidRDefault="00E166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33CE3" w:rsidRDefault="00E166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33CE3" w:rsidRDefault="00E1664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D33CE3" w:rsidRDefault="00E166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</w:t>
        </w:r>
        <w:r>
          <w:rPr>
            <w:rStyle w:val="ab"/>
            <w:szCs w:val="21"/>
          </w:rPr>
          <w:t>rg.com.cn/booklist_zh/list.aspx</w:t>
        </w:r>
      </w:hyperlink>
    </w:p>
    <w:p w:rsidR="00D33CE3" w:rsidRDefault="00E166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D33CE3" w:rsidRDefault="00E166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D33CE3" w:rsidRDefault="00E1664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D33CE3" w:rsidRDefault="00E1664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33CE3" w:rsidRDefault="00E1664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D33CE3" w:rsidRDefault="00E16643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3CE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43" w:rsidRDefault="00E16643">
      <w:r>
        <w:separator/>
      </w:r>
    </w:p>
  </w:endnote>
  <w:endnote w:type="continuationSeparator" w:id="0">
    <w:p w:rsidR="00E16643" w:rsidRDefault="00E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E3" w:rsidRDefault="00E166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698C" w:rsidRPr="00CF698C">
      <w:rPr>
        <w:noProof/>
        <w:lang w:val="zh-CN"/>
      </w:rPr>
      <w:t>3</w:t>
    </w:r>
    <w:r>
      <w:fldChar w:fldCharType="end"/>
    </w:r>
  </w:p>
  <w:p w:rsidR="00D33CE3" w:rsidRDefault="00D33CE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43" w:rsidRDefault="00E16643">
      <w:r>
        <w:separator/>
      </w:r>
    </w:p>
  </w:footnote>
  <w:footnote w:type="continuationSeparator" w:id="0">
    <w:p w:rsidR="00E16643" w:rsidRDefault="00E1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E3" w:rsidRDefault="00E166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3CE3" w:rsidRDefault="00E166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3DB2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662B8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182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525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CF698C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3CE3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16643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78046A"/>
    <w:rsid w:val="01D628BE"/>
    <w:rsid w:val="02C1356F"/>
    <w:rsid w:val="04644440"/>
    <w:rsid w:val="04BD7D66"/>
    <w:rsid w:val="064B6D0E"/>
    <w:rsid w:val="069B5E85"/>
    <w:rsid w:val="07222102"/>
    <w:rsid w:val="07697D31"/>
    <w:rsid w:val="097E11FF"/>
    <w:rsid w:val="099866AB"/>
    <w:rsid w:val="0A8530D4"/>
    <w:rsid w:val="0A93759F"/>
    <w:rsid w:val="0AC57974"/>
    <w:rsid w:val="0C4F4C11"/>
    <w:rsid w:val="0C741652"/>
    <w:rsid w:val="0DD203DE"/>
    <w:rsid w:val="0DDE352C"/>
    <w:rsid w:val="0E855450"/>
    <w:rsid w:val="0ED51E1B"/>
    <w:rsid w:val="0EE7435D"/>
    <w:rsid w:val="0FCC70AF"/>
    <w:rsid w:val="11567576"/>
    <w:rsid w:val="12C7072D"/>
    <w:rsid w:val="135A334F"/>
    <w:rsid w:val="136445DB"/>
    <w:rsid w:val="14072FC9"/>
    <w:rsid w:val="14DA24D4"/>
    <w:rsid w:val="17F81389"/>
    <w:rsid w:val="194127D1"/>
    <w:rsid w:val="197653DC"/>
    <w:rsid w:val="19A54B21"/>
    <w:rsid w:val="19E35721"/>
    <w:rsid w:val="1A023DF9"/>
    <w:rsid w:val="1AC217DA"/>
    <w:rsid w:val="1BFB31F6"/>
    <w:rsid w:val="1DD97276"/>
    <w:rsid w:val="1E6432D4"/>
    <w:rsid w:val="1EDF0BAD"/>
    <w:rsid w:val="1F2A4E12"/>
    <w:rsid w:val="1F5C21FD"/>
    <w:rsid w:val="21B46321"/>
    <w:rsid w:val="222E0C6A"/>
    <w:rsid w:val="23713D9D"/>
    <w:rsid w:val="25982783"/>
    <w:rsid w:val="26CB647D"/>
    <w:rsid w:val="28AA1D28"/>
    <w:rsid w:val="28AC5D49"/>
    <w:rsid w:val="28C049EA"/>
    <w:rsid w:val="28D629C2"/>
    <w:rsid w:val="2B740924"/>
    <w:rsid w:val="2BE55328"/>
    <w:rsid w:val="2E18147B"/>
    <w:rsid w:val="2E440BC0"/>
    <w:rsid w:val="2EDE5274"/>
    <w:rsid w:val="2FF670DA"/>
    <w:rsid w:val="30C132A6"/>
    <w:rsid w:val="31572824"/>
    <w:rsid w:val="31C57236"/>
    <w:rsid w:val="33704D31"/>
    <w:rsid w:val="33EE31E7"/>
    <w:rsid w:val="34020424"/>
    <w:rsid w:val="342F65CC"/>
    <w:rsid w:val="34DA79F4"/>
    <w:rsid w:val="35624296"/>
    <w:rsid w:val="356901FD"/>
    <w:rsid w:val="35B04BF9"/>
    <w:rsid w:val="35E52AF5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204729"/>
    <w:rsid w:val="40E83499"/>
    <w:rsid w:val="41432DC5"/>
    <w:rsid w:val="41787651"/>
    <w:rsid w:val="429B2728"/>
    <w:rsid w:val="42FE7CEB"/>
    <w:rsid w:val="433002C6"/>
    <w:rsid w:val="44BA339E"/>
    <w:rsid w:val="44CE29A6"/>
    <w:rsid w:val="44F76FA8"/>
    <w:rsid w:val="44FD328B"/>
    <w:rsid w:val="4551269F"/>
    <w:rsid w:val="45DE56A9"/>
    <w:rsid w:val="46502476"/>
    <w:rsid w:val="46F562C8"/>
    <w:rsid w:val="489D136C"/>
    <w:rsid w:val="499E328F"/>
    <w:rsid w:val="499F13E5"/>
    <w:rsid w:val="49A308A5"/>
    <w:rsid w:val="4A9F72BE"/>
    <w:rsid w:val="4B9271AA"/>
    <w:rsid w:val="4BDC1E4C"/>
    <w:rsid w:val="4CE20FB3"/>
    <w:rsid w:val="4D942FD5"/>
    <w:rsid w:val="4E1F2F3C"/>
    <w:rsid w:val="4F840831"/>
    <w:rsid w:val="4F87113C"/>
    <w:rsid w:val="500951DA"/>
    <w:rsid w:val="511F026A"/>
    <w:rsid w:val="518C60C3"/>
    <w:rsid w:val="535D3873"/>
    <w:rsid w:val="53DF24DA"/>
    <w:rsid w:val="53E53868"/>
    <w:rsid w:val="556709D9"/>
    <w:rsid w:val="566E5D97"/>
    <w:rsid w:val="56A1616C"/>
    <w:rsid w:val="5A0C3BBE"/>
    <w:rsid w:val="5B5714EF"/>
    <w:rsid w:val="5CA97B29"/>
    <w:rsid w:val="5DDE3802"/>
    <w:rsid w:val="5F426B24"/>
    <w:rsid w:val="62B80AC5"/>
    <w:rsid w:val="64706525"/>
    <w:rsid w:val="647153D0"/>
    <w:rsid w:val="65143DA1"/>
    <w:rsid w:val="65736F26"/>
    <w:rsid w:val="65BC6B1F"/>
    <w:rsid w:val="66CD35F0"/>
    <w:rsid w:val="67283D40"/>
    <w:rsid w:val="674C45E4"/>
    <w:rsid w:val="678F3DBF"/>
    <w:rsid w:val="67956A2E"/>
    <w:rsid w:val="67E73BFB"/>
    <w:rsid w:val="6875250A"/>
    <w:rsid w:val="69713AA0"/>
    <w:rsid w:val="69A1054C"/>
    <w:rsid w:val="6AE14931"/>
    <w:rsid w:val="6B0CDDEA"/>
    <w:rsid w:val="6B477629"/>
    <w:rsid w:val="6B95409A"/>
    <w:rsid w:val="6C1A00FB"/>
    <w:rsid w:val="6C44161C"/>
    <w:rsid w:val="6D7C4D65"/>
    <w:rsid w:val="6DB63E53"/>
    <w:rsid w:val="6E2711F5"/>
    <w:rsid w:val="6F0D2199"/>
    <w:rsid w:val="6FFF9167"/>
    <w:rsid w:val="70F27D16"/>
    <w:rsid w:val="72121874"/>
    <w:rsid w:val="739C33A8"/>
    <w:rsid w:val="74281823"/>
    <w:rsid w:val="744066FB"/>
    <w:rsid w:val="758962F1"/>
    <w:rsid w:val="768550D5"/>
    <w:rsid w:val="77040325"/>
    <w:rsid w:val="77BE8802"/>
    <w:rsid w:val="79DD09BA"/>
    <w:rsid w:val="7A327907"/>
    <w:rsid w:val="7AAA682F"/>
    <w:rsid w:val="7BF5648F"/>
    <w:rsid w:val="7CF16C56"/>
    <w:rsid w:val="7D3134F6"/>
    <w:rsid w:val="7D847ACA"/>
    <w:rsid w:val="7DD05720"/>
    <w:rsid w:val="7E2412AD"/>
    <w:rsid w:val="7EB7ADF2"/>
    <w:rsid w:val="7F20386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C36C07-4ED0-42D1-90B5-6E3EBDA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342</Words>
  <Characters>1954</Characters>
  <Application>Microsoft Office Word</Application>
  <DocSecurity>0</DocSecurity>
  <Lines>16</Lines>
  <Paragraphs>4</Paragraphs>
  <ScaleCrop>false</ScaleCrop>
  <Company>2ndSpAcE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52</cp:revision>
  <cp:lastPrinted>2005-06-12T06:33:00Z</cp:lastPrinted>
  <dcterms:created xsi:type="dcterms:W3CDTF">2024-07-17T10:51:00Z</dcterms:created>
  <dcterms:modified xsi:type="dcterms:W3CDTF">2025-08-27T03:07:00Z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16DEC0C613C543E2BA36A384BF2AC10C_13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