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3925570</wp:posOffset>
            </wp:positionH>
            <wp:positionV relativeFrom="paragraph">
              <wp:posOffset>71755</wp:posOffset>
            </wp:positionV>
            <wp:extent cx="1476375" cy="2103120"/>
            <wp:effectExtent l="0" t="0" r="1905" b="0"/>
            <wp:wrapSquare wrapText="bothSides"/>
            <wp:docPr id="1" name="图片 39" descr="C:/Users/lenovo/Desktop/屏幕截图 2025-08-26 130907.png屏幕截图 2025-08-26 13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8-26 130907.png屏幕截图 2025-08-26 130907"/>
                    <pic:cNvPicPr>
                      <a:picLocks noChangeAspect="1"/>
                    </pic:cNvPicPr>
                  </pic:nvPicPr>
                  <pic:blipFill>
                    <a:blip r:embed="rId6"/>
                    <a:srcRect t="2479" b="2479"/>
                    <a:stretch>
                      <a:fillRect/>
                    </a:stretch>
                  </pic:blipFill>
                  <pic:spPr>
                    <a:xfrm>
                      <a:off x="0" y="0"/>
                      <a:ext cx="1476375" cy="210312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w:t>
      </w:r>
      <w:r>
        <w:rPr>
          <w:rStyle w:val="10"/>
          <w:rFonts w:hint="eastAsia" w:ascii="宋体" w:hAnsi="宋体" w:eastAsia="宋体" w:cs="宋体"/>
          <w:b/>
          <w:bCs/>
          <w:i w:val="0"/>
          <w:iCs w:val="0"/>
          <w:caps w:val="0"/>
          <w:color w:val="auto"/>
          <w:spacing w:val="0"/>
          <w:sz w:val="21"/>
          <w:szCs w:val="21"/>
          <w:shd w:val="clear" w:fill="FFFFFF"/>
        </w:rPr>
        <w:t>无畏领导</w:t>
      </w:r>
      <w:r>
        <w:rPr>
          <w:rFonts w:hint="eastAsia"/>
          <w:b/>
          <w:bCs/>
          <w:color w:val="000000"/>
          <w:szCs w:val="21"/>
          <w:highlight w:val="none"/>
          <w:lang w:val="en-US" w:eastAsia="zh-CN"/>
        </w:rPr>
        <w:t>：在不确定时代如何敢为人先》</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Strong Ground</w:t>
      </w:r>
      <w:r>
        <w:rPr>
          <w:rFonts w:hint="eastAsia"/>
          <w:b/>
          <w:bCs/>
          <w:i/>
          <w:color w:val="000000"/>
          <w:szCs w:val="21"/>
          <w:highlight w:val="none"/>
          <w:lang w:val="en-US" w:eastAsia="zh-CN"/>
        </w:rPr>
        <w:t>:</w:t>
      </w:r>
      <w:r>
        <w:rPr>
          <w:rFonts w:hint="eastAsia"/>
          <w:b/>
          <w:bCs/>
          <w:i/>
          <w:color w:val="000000"/>
          <w:szCs w:val="21"/>
          <w:highlight w:val="none"/>
        </w:rPr>
        <w:t xml:space="preserve"> The Lessons of Daring Leadership, the Tenacity of Paradox, and the Wisdom of the Human Spirit</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Brené Brown</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Random House</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WME/ANA/Jessica</w:t>
      </w:r>
    </w:p>
    <w:p w14:paraId="76F62765">
      <w:pPr>
        <w:tabs>
          <w:tab w:val="left" w:pos="341"/>
          <w:tab w:val="left" w:pos="5235"/>
        </w:tabs>
        <w:rPr>
          <w:rFonts w:hint="default"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448页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9</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经管</w:t>
      </w:r>
    </w:p>
    <w:p w14:paraId="360CF503">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#3 in Popular Social Psychology &amp; Interactions</w:t>
      </w:r>
    </w:p>
    <w:p w14:paraId="4DF2E8C8">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#4 in Leadership &amp; Motivation</w:t>
      </w:r>
    </w:p>
    <w:p w14:paraId="2E429641">
      <w:pPr>
        <w:rPr>
          <w:rFonts w:hint="default" w:ascii="Times New Roman" w:hAnsi="Times New Roman" w:cs="Times New Roman"/>
          <w:b/>
          <w:bCs/>
          <w:color w:val="000000"/>
          <w:spacing w:val="-3"/>
          <w:sz w:val="11"/>
          <w:szCs w:val="11"/>
          <w:shd w:val="clear" w:color="auto" w:fill="FFFFFF"/>
        </w:rPr>
      </w:pPr>
      <w:r>
        <w:rPr>
          <w:rFonts w:hint="default" w:ascii="Times New Roman" w:hAnsi="Times New Roman" w:cs="Times New Roman"/>
          <w:b/>
          <w:bCs/>
          <w:color w:val="FF0000"/>
          <w:spacing w:val="-3"/>
          <w:sz w:val="21"/>
          <w:szCs w:val="21"/>
          <w:shd w:val="clear" w:color="auto" w:fill="FFFFFF"/>
        </w:rPr>
        <w:t>#9 in Success Self-Help</w:t>
      </w:r>
    </w:p>
    <w:p w14:paraId="246AC554">
      <w:pPr>
        <w:rPr>
          <w:rFonts w:hint="eastAsia" w:ascii="Arial" w:hAnsi="Arial" w:cs="Arial"/>
          <w:b/>
          <w:bCs/>
          <w:color w:val="000000"/>
          <w:spacing w:val="-3"/>
          <w:sz w:val="11"/>
          <w:szCs w:val="11"/>
          <w:shd w:val="clear" w:color="auto" w:fill="FFFFFF"/>
        </w:rPr>
      </w:pPr>
      <w:bookmarkStart w:id="1" w:name="_GoBack"/>
      <w:bookmarkEnd w:id="1"/>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161B41C">
      <w:pPr>
        <w:ind w:firstLine="420" w:firstLineChars="200"/>
        <w:rPr>
          <w:rFonts w:hint="eastAsia"/>
          <w:bCs/>
          <w:kern w:val="0"/>
          <w:szCs w:val="21"/>
        </w:rPr>
      </w:pPr>
      <w:r>
        <w:rPr>
          <w:rFonts w:hint="eastAsia"/>
          <w:bCs/>
          <w:kern w:val="0"/>
          <w:szCs w:val="21"/>
        </w:rPr>
        <w:t>《纽约时报》畅销书榜首作家布琳·布朗全新力作，以紧迫之姿呼吁重新构想勇敢领导力的核心要素。在这个不确定性弥漫、虚张声势、傲慢甚至残酷日益被美化为可接受领导方式的时代，布朗提出了实用且可操作的见解，阐明了通过联结、纪律与责任重拾专注、推动成长所必需的心态与技能体系。</w:t>
      </w:r>
    </w:p>
    <w:p w14:paraId="054C983F">
      <w:pPr>
        <w:ind w:firstLine="420" w:firstLineChars="200"/>
        <w:rPr>
          <w:rFonts w:hint="eastAsia"/>
          <w:bCs/>
          <w:kern w:val="0"/>
          <w:szCs w:val="21"/>
        </w:rPr>
      </w:pPr>
    </w:p>
    <w:p w14:paraId="136D2B64">
      <w:pPr>
        <w:ind w:firstLine="420" w:firstLineChars="200"/>
        <w:rPr>
          <w:rFonts w:hint="eastAsia"/>
          <w:bCs/>
          <w:kern w:val="0"/>
          <w:szCs w:val="21"/>
        </w:rPr>
      </w:pPr>
      <w:r>
        <w:rPr>
          <w:rFonts w:hint="eastAsia"/>
          <w:bCs/>
          <w:kern w:val="0"/>
          <w:szCs w:val="21"/>
        </w:rPr>
        <w:t>过去六年间，布琳·布朗与全球教练及引导师社群携手，在45个国家为超过15万名领导者开展了</w:t>
      </w:r>
      <w:r>
        <w:rPr>
          <w:rFonts w:hint="eastAsia"/>
          <w:bCs/>
          <w:kern w:val="0"/>
          <w:szCs w:val="21"/>
          <w:lang w:eastAsia="zh-CN"/>
        </w:rPr>
        <w:t>“</w:t>
      </w:r>
      <w:r>
        <w:rPr>
          <w:rFonts w:hint="eastAsia"/>
          <w:bCs/>
          <w:kern w:val="0"/>
          <w:szCs w:val="21"/>
        </w:rPr>
        <w:t>勇敢领导</w:t>
      </w:r>
      <w:r>
        <w:rPr>
          <w:rFonts w:hint="eastAsia"/>
          <w:bCs/>
          <w:kern w:val="0"/>
          <w:szCs w:val="21"/>
          <w:lang w:eastAsia="zh-CN"/>
        </w:rPr>
        <w:t>”</w:t>
      </w:r>
      <w:r>
        <w:rPr>
          <w:rFonts w:hint="eastAsia"/>
          <w:bCs/>
          <w:kern w:val="0"/>
          <w:szCs w:val="21"/>
        </w:rPr>
        <w:t>勇气培养项目。在《</w:t>
      </w:r>
      <w:r>
        <w:rPr>
          <w:rFonts w:hint="eastAsia"/>
          <w:bCs/>
          <w:kern w:val="0"/>
          <w:szCs w:val="21"/>
          <w:lang w:val="en-US" w:eastAsia="zh-CN"/>
        </w:rPr>
        <w:t>无畏领导</w:t>
      </w:r>
      <w:r>
        <w:rPr>
          <w:rFonts w:hint="eastAsia"/>
          <w:bCs/>
          <w:kern w:val="0"/>
          <w:szCs w:val="21"/>
        </w:rPr>
        <w:t>》中，布朗不仅分享了这些实践中的经验教训，更融汇了其他思想家的智慧。这本至关重要的行动指南既适用于制定和执行复杂战略的高层领导者，也适合初入动荡职场环境的Z世代年轻人。书中更对</w:t>
      </w:r>
      <w:r>
        <w:rPr>
          <w:rFonts w:hint="eastAsia"/>
          <w:bCs/>
          <w:kern w:val="0"/>
          <w:szCs w:val="21"/>
          <w:lang w:eastAsia="zh-CN"/>
        </w:rPr>
        <w:t>“</w:t>
      </w:r>
      <w:r>
        <w:rPr>
          <w:rFonts w:hint="eastAsia"/>
          <w:bCs/>
          <w:kern w:val="0"/>
          <w:szCs w:val="21"/>
        </w:rPr>
        <w:t>工作绩效与全心投入不可兼得</w:t>
      </w:r>
      <w:r>
        <w:rPr>
          <w:rFonts w:hint="eastAsia"/>
          <w:bCs/>
          <w:kern w:val="0"/>
          <w:szCs w:val="21"/>
          <w:lang w:eastAsia="zh-CN"/>
        </w:rPr>
        <w:t>”</w:t>
      </w:r>
      <w:r>
        <w:rPr>
          <w:rFonts w:hint="eastAsia"/>
          <w:bCs/>
          <w:kern w:val="0"/>
          <w:szCs w:val="21"/>
        </w:rPr>
        <w:t>这一错误观念的持续泛滥作出了犀利剖析。</w:t>
      </w:r>
    </w:p>
    <w:p w14:paraId="2B147AF3">
      <w:pPr>
        <w:ind w:firstLine="420" w:firstLineChars="200"/>
        <w:rPr>
          <w:rFonts w:hint="eastAsia"/>
          <w:bCs/>
          <w:kern w:val="0"/>
          <w:szCs w:val="21"/>
        </w:rPr>
      </w:pPr>
    </w:p>
    <w:p w14:paraId="65C73E81">
      <w:pPr>
        <w:ind w:firstLine="420" w:firstLineChars="200"/>
        <w:rPr>
          <w:rFonts w:hint="eastAsia" w:eastAsia="宋体"/>
          <w:bCs/>
          <w:kern w:val="0"/>
          <w:szCs w:val="21"/>
          <w:lang w:eastAsia="zh-CN"/>
        </w:rPr>
      </w:pPr>
      <w:r>
        <w:rPr>
          <w:rFonts w:hint="eastAsia"/>
          <w:bCs/>
          <w:kern w:val="0"/>
          <w:szCs w:val="21"/>
        </w:rPr>
        <w:t>关于人工智能，布朗以乐观与警惕并存的态度写道：</w:t>
      </w:r>
      <w:r>
        <w:rPr>
          <w:rFonts w:hint="eastAsia"/>
          <w:bCs/>
          <w:kern w:val="0"/>
          <w:szCs w:val="21"/>
          <w:lang w:eastAsia="zh-CN"/>
        </w:rPr>
        <w:t>“</w:t>
      </w:r>
      <w:r>
        <w:rPr>
          <w:rFonts w:hint="eastAsia"/>
          <w:bCs/>
          <w:kern w:val="0"/>
          <w:szCs w:val="21"/>
        </w:rPr>
        <w:t>我听到许多专家用陈词滥调来缓解人们对技术变革速度的焦虑，比如</w:t>
      </w:r>
      <w:r>
        <w:rPr>
          <w:rFonts w:hint="eastAsia"/>
          <w:bCs/>
          <w:kern w:val="0"/>
          <w:szCs w:val="21"/>
          <w:lang w:eastAsia="zh-CN"/>
        </w:rPr>
        <w:t>‘</w:t>
      </w:r>
      <w:r>
        <w:rPr>
          <w:rFonts w:hint="eastAsia"/>
          <w:bCs/>
          <w:kern w:val="0"/>
          <w:szCs w:val="21"/>
        </w:rPr>
        <w:t>人性特质将确保我们的不可替代性</w:t>
      </w:r>
      <w:r>
        <w:rPr>
          <w:rFonts w:hint="eastAsia"/>
          <w:bCs/>
          <w:kern w:val="0"/>
          <w:szCs w:val="21"/>
          <w:lang w:eastAsia="zh-CN"/>
        </w:rPr>
        <w:t>’</w:t>
      </w:r>
      <w:r>
        <w:rPr>
          <w:rFonts w:hint="eastAsia"/>
          <w:bCs/>
          <w:kern w:val="0"/>
          <w:szCs w:val="21"/>
        </w:rPr>
        <w:t>。这种论调之所以危险，是因为当下我们并未善用这些人性特质。我们天生不擅长应对如此程度的不确定性，许多人感觉持续自我防护的需求正在剥夺我们的人性本质。这正是当今组织变革必须培养深度联结、深度思考和深度协作的原因。我们需要以尊重和保护人类精神智慧的勇气来引领众人。</w:t>
      </w:r>
      <w:r>
        <w:rPr>
          <w:rFonts w:hint="eastAsia"/>
          <w:bCs/>
          <w:kern w:val="0"/>
          <w:szCs w:val="21"/>
          <w:lang w:eastAsia="zh-CN"/>
        </w:rPr>
        <w:t>”</w:t>
      </w:r>
    </w:p>
    <w:p w14:paraId="7D0694BD">
      <w:pPr>
        <w:ind w:firstLine="420" w:firstLineChars="200"/>
        <w:rPr>
          <w:rFonts w:hint="eastAsia"/>
          <w:bCs/>
          <w:kern w:val="0"/>
          <w:szCs w:val="21"/>
        </w:rPr>
      </w:pPr>
    </w:p>
    <w:p w14:paraId="06382677">
      <w:pPr>
        <w:ind w:firstLine="420" w:firstLineChars="200"/>
        <w:rPr>
          <w:rFonts w:hint="eastAsia"/>
          <w:bCs/>
          <w:kern w:val="0"/>
          <w:szCs w:val="21"/>
        </w:rPr>
      </w:pPr>
      <w:r>
        <w:rPr>
          <w:rFonts w:hint="eastAsia"/>
          <w:bCs/>
          <w:kern w:val="0"/>
          <w:szCs w:val="21"/>
        </w:rPr>
        <w:t>布朗全面评估了未来所需的能力体系与思维模式，包括开展尊重性艰难对话的能力、提升生产性紧迫感与智能优先级排序（而非被动反应）、战略风险承担、悖论思维以及情境与预判感知能力。她指出最艰难的技能在于培养忘却与再学习的纪律性、谦逊和自信。</w:t>
      </w:r>
    </w:p>
    <w:p w14:paraId="6E39C878">
      <w:pPr>
        <w:ind w:firstLine="420" w:firstLineChars="200"/>
        <w:rPr>
          <w:rFonts w:hint="eastAsia"/>
          <w:bCs/>
          <w:kern w:val="0"/>
          <w:szCs w:val="21"/>
        </w:rPr>
      </w:pPr>
    </w:p>
    <w:p w14:paraId="3A7CD33D">
      <w:pPr>
        <w:ind w:firstLine="420" w:firstLineChars="200"/>
        <w:rPr>
          <w:rFonts w:hint="eastAsia" w:eastAsia="宋体"/>
          <w:bCs/>
          <w:kern w:val="0"/>
          <w:szCs w:val="21"/>
          <w:lang w:eastAsia="zh-CN"/>
        </w:rPr>
      </w:pPr>
      <w:r>
        <w:rPr>
          <w:rFonts w:hint="eastAsia"/>
          <w:bCs/>
          <w:kern w:val="0"/>
          <w:szCs w:val="21"/>
        </w:rPr>
        <w:t>布朗强调：</w:t>
      </w:r>
      <w:r>
        <w:rPr>
          <w:rFonts w:hint="eastAsia"/>
          <w:bCs/>
          <w:kern w:val="0"/>
          <w:szCs w:val="21"/>
          <w:lang w:eastAsia="zh-CN"/>
        </w:rPr>
        <w:t>“</w:t>
      </w:r>
      <w:r>
        <w:rPr>
          <w:rFonts w:hint="eastAsia"/>
          <w:bCs/>
          <w:kern w:val="0"/>
          <w:szCs w:val="21"/>
        </w:rPr>
        <w:t>个人与组织都在锻造新肌肉。找到我们的坚实之地——那个运动员般的准备姿态——是唯一能在不确定性漩涡中提供坚定稳定性，同时为世界所需的快速突破性变革提供平台的方法。</w:t>
      </w:r>
      <w:r>
        <w:rPr>
          <w:rFonts w:hint="eastAsia"/>
          <w:bCs/>
          <w:kern w:val="0"/>
          <w:szCs w:val="21"/>
          <w:lang w:eastAsia="zh-CN"/>
        </w:rPr>
        <w:t>”</w:t>
      </w:r>
    </w:p>
    <w:p w14:paraId="3AA01095">
      <w:pPr>
        <w:ind w:firstLine="420" w:firstLineChars="200"/>
        <w:rPr>
          <w:rFonts w:hint="eastAsia"/>
          <w:bCs/>
          <w:kern w:val="0"/>
          <w:szCs w:val="21"/>
        </w:rPr>
      </w:pPr>
    </w:p>
    <w:p w14:paraId="164ED548">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362B0A82">
      <w:pPr>
        <w:ind w:right="420" w:firstLine="422" w:firstLineChars="200"/>
        <w:jc w:val="both"/>
        <w:rPr>
          <w:rFonts w:hint="default"/>
          <w:b w:val="0"/>
          <w:bCs w:val="0"/>
          <w:color w:val="000000"/>
          <w:szCs w:val="21"/>
          <w:lang w:val="en-US" w:eastAsia="zh-CN"/>
        </w:rPr>
      </w:pPr>
      <w:r>
        <w:rPr>
          <w:rFonts w:hint="eastAsia"/>
          <w:b/>
          <w:bCs/>
          <w:color w:val="000000"/>
          <w:szCs w:val="21"/>
          <w:lang w:val="en-US" w:eastAsia="zh-CN"/>
        </w:rPr>
        <w:t>布琳·布朗（</w:t>
      </w:r>
      <w:r>
        <w:rPr>
          <w:rFonts w:hint="eastAsia"/>
          <w:b/>
          <w:bCs/>
          <w:color w:val="000000"/>
          <w:szCs w:val="21"/>
          <w:highlight w:val="none"/>
        </w:rPr>
        <w:t>Brené Brown</w:t>
      </w:r>
      <w:r>
        <w:rPr>
          <w:rFonts w:hint="eastAsia"/>
          <w:b/>
          <w:bCs/>
          <w:color w:val="000000"/>
          <w:szCs w:val="21"/>
          <w:lang w:val="en-US" w:eastAsia="zh-CN"/>
        </w:rPr>
        <w:t>）</w:t>
      </w:r>
      <w:r>
        <w:rPr>
          <w:rFonts w:hint="eastAsia"/>
          <w:b w:val="0"/>
          <w:bCs w:val="0"/>
          <w:color w:val="000000"/>
          <w:szCs w:val="21"/>
          <w:lang w:val="en-US" w:eastAsia="zh-CN"/>
        </w:rPr>
        <w:t>现任休斯顿大学研究教授，担任社会工作研究生院赫芬顿基金会捐赠讲席教授，同时兼任德克萨斯大学奥斯汀分校麦库姆斯商学院实践教授。著有六部《纽约时报》榜首畅销书，主持两档获奖播客节目。2024年被任命为BetterUp公司勇敢领导力中心执行董事。与丈夫史蒂夫定居得克萨斯州休斯顿，育有子女艾伦与查理，另有一只名为露西的古怪比熊犬。</w:t>
      </w:r>
    </w:p>
    <w:p w14:paraId="2E17DBE7">
      <w:pPr>
        <w:tabs>
          <w:tab w:val="left" w:pos="641"/>
        </w:tabs>
        <w:ind w:right="420"/>
        <w:rPr>
          <w:rFonts w:hint="eastAsia"/>
          <w:b/>
          <w:bCs/>
          <w:color w:val="000000"/>
          <w:szCs w:val="21"/>
          <w:lang w:val="en-US" w:eastAsia="zh-CN"/>
        </w:rPr>
      </w:pPr>
    </w:p>
    <w:p w14:paraId="5E1748AE">
      <w:pPr>
        <w:tabs>
          <w:tab w:val="left" w:pos="641"/>
        </w:tabs>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AF0F7C"/>
    <w:rsid w:val="075B09F4"/>
    <w:rsid w:val="0A8F3F31"/>
    <w:rsid w:val="0AA352B8"/>
    <w:rsid w:val="0AC20A24"/>
    <w:rsid w:val="0C0008F4"/>
    <w:rsid w:val="0C3C7AF6"/>
    <w:rsid w:val="0E6A6913"/>
    <w:rsid w:val="0F3E0224"/>
    <w:rsid w:val="18E7406A"/>
    <w:rsid w:val="1989226D"/>
    <w:rsid w:val="1BA86C22"/>
    <w:rsid w:val="2C0B6F0E"/>
    <w:rsid w:val="2CB75CA1"/>
    <w:rsid w:val="2DA34CE1"/>
    <w:rsid w:val="381D7EFC"/>
    <w:rsid w:val="3AE04ADC"/>
    <w:rsid w:val="3C1934F8"/>
    <w:rsid w:val="432C279F"/>
    <w:rsid w:val="46B43896"/>
    <w:rsid w:val="4C156891"/>
    <w:rsid w:val="5B1B417E"/>
    <w:rsid w:val="607974F3"/>
    <w:rsid w:val="60B3492E"/>
    <w:rsid w:val="68EE2E29"/>
    <w:rsid w:val="6AEB37C3"/>
    <w:rsid w:val="6F6B6F3F"/>
    <w:rsid w:val="73FC1536"/>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1162</Words>
  <Characters>1618</Characters>
  <Lines>25</Lines>
  <Paragraphs>7</Paragraphs>
  <TotalTime>56</TotalTime>
  <ScaleCrop>false</ScaleCrop>
  <LinksUpToDate>false</LinksUpToDate>
  <CharactersWithSpaces>1671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2025-08-29T01:58:35Z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