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D0" w:rsidRDefault="0015574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D59D0" w:rsidRDefault="002D59D0">
      <w:pPr>
        <w:ind w:firstLineChars="1004" w:firstLine="3629"/>
        <w:rPr>
          <w:b/>
          <w:bCs/>
          <w:sz w:val="36"/>
        </w:rPr>
      </w:pPr>
    </w:p>
    <w:p w:rsidR="002D59D0" w:rsidRDefault="009427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7620</wp:posOffset>
            </wp:positionV>
            <wp:extent cx="1310640" cy="1922145"/>
            <wp:effectExtent l="0" t="0" r="3810" b="1905"/>
            <wp:wrapSquare wrapText="bothSides"/>
            <wp:docPr id="1" name="图片 39" descr="C:/Users/lenovo/Desktop/屏幕截图 2025-08-26 134247.png屏幕截图 2025-08-26 13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8-26 134247.png屏幕截图 2025-08-26 134247"/>
                    <pic:cNvPicPr>
                      <a:picLocks noChangeAspect="1"/>
                    </pic:cNvPicPr>
                  </pic:nvPicPr>
                  <pic:blipFill>
                    <a:blip r:embed="rId7"/>
                    <a:srcRect t="2135" b="213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741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55741">
        <w:rPr>
          <w:rFonts w:hint="eastAsia"/>
          <w:b/>
          <w:bCs/>
          <w:color w:val="000000"/>
          <w:szCs w:val="21"/>
        </w:rPr>
        <w:t>《技术哲学导论》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Introduction to Philosophy of Technology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Mark </w:t>
      </w:r>
      <w:proofErr w:type="spellStart"/>
      <w:r>
        <w:rPr>
          <w:rFonts w:hint="eastAsia"/>
          <w:b/>
          <w:bCs/>
          <w:color w:val="000000"/>
          <w:szCs w:val="21"/>
        </w:rPr>
        <w:t>Coeckelbergh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</w:instrText>
      </w:r>
      <w:r>
        <w:rPr>
          <w:b/>
          <w:bCs/>
          <w:color w:val="000000"/>
          <w:szCs w:val="21"/>
        </w:rPr>
        <w:instrText xml:space="preserve">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t>ord University Press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:rsidR="002D59D0" w:rsidRDefault="0015574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D59D0" w:rsidRDefault="0015574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355B99">
        <w:rPr>
          <w:rFonts w:hint="eastAsia"/>
          <w:b/>
          <w:bCs/>
          <w:szCs w:val="21"/>
        </w:rPr>
        <w:t>哲学</w:t>
      </w:r>
    </w:p>
    <w:p w:rsidR="002D59D0" w:rsidRDefault="002D59D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D59D0" w:rsidRDefault="002D59D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D59D0" w:rsidRDefault="0015574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D59D0" w:rsidRDefault="002D59D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2D59D0" w:rsidRDefault="0015574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面对</w:t>
      </w:r>
      <w:r>
        <w:rPr>
          <w:rFonts w:hint="eastAsia"/>
          <w:bCs/>
          <w:kern w:val="0"/>
          <w:szCs w:val="21"/>
        </w:rPr>
        <w:t>21</w:t>
      </w:r>
      <w:r>
        <w:rPr>
          <w:rFonts w:hint="eastAsia"/>
          <w:bCs/>
          <w:kern w:val="0"/>
          <w:szCs w:val="21"/>
        </w:rPr>
        <w:t>世纪的技术机遇与挑战，《技术哲学导论》提供了该领域最新且最全面的学术概览。本书不仅涵盖经典理论与方法，更突破传统框架，探索更广阔的理论体系</w:t>
      </w:r>
      <w:proofErr w:type="gramStart"/>
      <w:r>
        <w:rPr>
          <w:rFonts w:hint="eastAsia"/>
          <w:bCs/>
          <w:kern w:val="0"/>
          <w:szCs w:val="21"/>
        </w:rPr>
        <w:t>及领域</w:t>
      </w:r>
      <w:proofErr w:type="gramEnd"/>
      <w:r>
        <w:rPr>
          <w:rFonts w:hint="eastAsia"/>
          <w:bCs/>
          <w:kern w:val="0"/>
          <w:szCs w:val="21"/>
        </w:rPr>
        <w:t>新动态——包括对技术新发展的哲学回应。著名学者马克·科克伯格着重阐释新技术发展如何激发哲学思考与反思，并探讨技术哲学家如何更深入地与哲学其他子学科以及艺术、政策等非学术领域开展互动。</w:t>
      </w:r>
    </w:p>
    <w:p w:rsidR="002D59D0" w:rsidRDefault="002D59D0" w:rsidP="00355B99">
      <w:pPr>
        <w:rPr>
          <w:bCs/>
          <w:kern w:val="0"/>
          <w:szCs w:val="21"/>
        </w:rPr>
      </w:pPr>
    </w:p>
    <w:p w:rsidR="00355B99" w:rsidRDefault="00355B99" w:rsidP="00355B99">
      <w:pPr>
        <w:rPr>
          <w:bCs/>
          <w:kern w:val="0"/>
          <w:szCs w:val="21"/>
        </w:rPr>
      </w:pPr>
    </w:p>
    <w:p w:rsidR="00355B99" w:rsidRPr="00355B99" w:rsidRDefault="00355B99" w:rsidP="00355B99">
      <w:pPr>
        <w:rPr>
          <w:b/>
          <w:bCs/>
          <w:kern w:val="0"/>
          <w:szCs w:val="21"/>
        </w:rPr>
      </w:pPr>
      <w:r w:rsidRPr="00355B99">
        <w:rPr>
          <w:b/>
          <w:bCs/>
          <w:kern w:val="0"/>
          <w:szCs w:val="21"/>
        </w:rPr>
        <w:t>本书亮点：</w:t>
      </w:r>
    </w:p>
    <w:p w:rsidR="00355B99" w:rsidRDefault="00355B99" w:rsidP="00355B99">
      <w:pPr>
        <w:rPr>
          <w:bCs/>
          <w:kern w:val="0"/>
          <w:szCs w:val="21"/>
        </w:rPr>
      </w:pPr>
    </w:p>
    <w:p w:rsidR="00355B99" w:rsidRPr="00355B99" w:rsidRDefault="00355B99" w:rsidP="00355B99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355B99">
        <w:rPr>
          <w:rFonts w:hint="eastAsia"/>
          <w:bCs/>
          <w:kern w:val="0"/>
          <w:szCs w:val="21"/>
        </w:rPr>
        <w:t>提供对技术哲学的全面、系统且与时俱进的介绍</w:t>
      </w:r>
    </w:p>
    <w:p w:rsidR="00355B99" w:rsidRPr="00355B99" w:rsidRDefault="00355B99" w:rsidP="00355B99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355B99">
        <w:rPr>
          <w:rFonts w:hint="eastAsia"/>
          <w:bCs/>
          <w:kern w:val="0"/>
          <w:szCs w:val="21"/>
        </w:rPr>
        <w:t>涵盖各种案例研究</w:t>
      </w:r>
    </w:p>
    <w:p w:rsidR="00355B99" w:rsidRPr="00355B99" w:rsidRDefault="00355B99" w:rsidP="00355B99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355B99">
        <w:rPr>
          <w:rFonts w:hint="eastAsia"/>
          <w:bCs/>
          <w:kern w:val="0"/>
          <w:szCs w:val="21"/>
        </w:rPr>
        <w:t>涉及技术哲学以外的相关领域，如伦理学、语言哲学、创新和政策研究</w:t>
      </w:r>
    </w:p>
    <w:p w:rsidR="00355B99" w:rsidRPr="00355B99" w:rsidRDefault="00355B99" w:rsidP="00355B99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355B99">
        <w:rPr>
          <w:rFonts w:hint="eastAsia"/>
          <w:bCs/>
          <w:kern w:val="0"/>
          <w:szCs w:val="21"/>
        </w:rPr>
        <w:t>展示了技术发展如何激发哲学思考</w:t>
      </w:r>
    </w:p>
    <w:p w:rsidR="00355B99" w:rsidRPr="00355B99" w:rsidRDefault="00355B99" w:rsidP="00355B99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355B99">
        <w:rPr>
          <w:rFonts w:hint="eastAsia"/>
          <w:bCs/>
          <w:kern w:val="0"/>
          <w:szCs w:val="21"/>
        </w:rPr>
        <w:t>每章都以复习题、讨论题、推荐阅读和关键词结尾，便于读者巩固所学知识</w:t>
      </w:r>
    </w:p>
    <w:p w:rsidR="00355B99" w:rsidRDefault="00355B99" w:rsidP="00355B99">
      <w:pPr>
        <w:rPr>
          <w:rFonts w:hint="eastAsia"/>
          <w:bCs/>
          <w:kern w:val="0"/>
          <w:szCs w:val="21"/>
        </w:rPr>
      </w:pPr>
    </w:p>
    <w:p w:rsidR="002D59D0" w:rsidRDefault="002D59D0">
      <w:pPr>
        <w:rPr>
          <w:bCs/>
          <w:kern w:val="0"/>
          <w:szCs w:val="21"/>
        </w:rPr>
      </w:pPr>
    </w:p>
    <w:p w:rsidR="002D59D0" w:rsidRDefault="001557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2D59D0" w:rsidRDefault="002D59D0">
      <w:pPr>
        <w:rPr>
          <w:bCs/>
          <w:color w:val="000000"/>
          <w:szCs w:val="21"/>
        </w:rPr>
      </w:pPr>
    </w:p>
    <w:p w:rsidR="002D59D0" w:rsidRDefault="00155741" w:rsidP="00355B9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马克·科克伯格（</w:t>
      </w:r>
      <w:r>
        <w:rPr>
          <w:rFonts w:hint="eastAsia"/>
          <w:b/>
          <w:bCs/>
          <w:color w:val="000000"/>
          <w:szCs w:val="21"/>
        </w:rPr>
        <w:t xml:space="preserve">Mark </w:t>
      </w:r>
      <w:proofErr w:type="spellStart"/>
      <w:r>
        <w:rPr>
          <w:rFonts w:hint="eastAsia"/>
          <w:b/>
          <w:bCs/>
          <w:color w:val="000000"/>
          <w:szCs w:val="21"/>
        </w:rPr>
        <w:t>Coeckelbergh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任维也纳大学哲学系媒体与技术教授，曾任哲学与技术学会主席。著有十二部专著，现任欧盟人工智能高级别专家组成员。</w:t>
      </w:r>
    </w:p>
    <w:p w:rsidR="002D59D0" w:rsidRDefault="002D59D0">
      <w:pPr>
        <w:ind w:right="420" w:firstLineChars="200" w:firstLine="420"/>
        <w:jc w:val="right"/>
        <w:rPr>
          <w:color w:val="000000"/>
          <w:szCs w:val="21"/>
        </w:rPr>
      </w:pPr>
    </w:p>
    <w:p w:rsidR="002D59D0" w:rsidRDefault="002D59D0">
      <w:pPr>
        <w:ind w:right="420" w:firstLineChars="200" w:firstLine="420"/>
        <w:jc w:val="right"/>
        <w:rPr>
          <w:color w:val="000000"/>
          <w:szCs w:val="21"/>
        </w:rPr>
      </w:pPr>
    </w:p>
    <w:p w:rsidR="002D59D0" w:rsidRDefault="00155741" w:rsidP="00355B99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2D59D0" w:rsidRDefault="002D59D0" w:rsidP="00355B99">
      <w:pPr>
        <w:jc w:val="left"/>
        <w:rPr>
          <w:color w:val="000000"/>
          <w:szCs w:val="21"/>
        </w:rPr>
      </w:pPr>
    </w:p>
    <w:p w:rsidR="002D59D0" w:rsidRDefault="00155741" w:rsidP="00355B99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《技术哲学导论》堪称哲学清晰性的典范。由科克伯格教授这般卓越学者撰写的教材，必将令无数读者振奋。</w:t>
      </w:r>
      <w:r>
        <w:rPr>
          <w:rFonts w:hint="eastAsia"/>
          <w:color w:val="000000"/>
          <w:szCs w:val="21"/>
        </w:rPr>
        <w:t>”</w:t>
      </w:r>
    </w:p>
    <w:p w:rsidR="002D59D0" w:rsidRDefault="00155741" w:rsidP="00355B99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香农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瓦洛尔（圣克拉拉大学）</w:t>
      </w:r>
    </w:p>
    <w:p w:rsidR="002D59D0" w:rsidRDefault="002D59D0" w:rsidP="00355B99">
      <w:pPr>
        <w:ind w:firstLineChars="200" w:firstLine="420"/>
        <w:jc w:val="left"/>
        <w:rPr>
          <w:color w:val="000000"/>
          <w:szCs w:val="21"/>
        </w:rPr>
      </w:pPr>
    </w:p>
    <w:p w:rsidR="002D59D0" w:rsidRDefault="00155741" w:rsidP="00355B99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本书逻辑严密、结构连贯、表述清晰，是首部且唯一能应对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世纪机遇挑战的技术哲学教材。</w:t>
      </w:r>
      <w:r>
        <w:rPr>
          <w:rFonts w:hint="eastAsia"/>
          <w:color w:val="000000"/>
          <w:szCs w:val="21"/>
        </w:rPr>
        <w:t>”</w:t>
      </w:r>
    </w:p>
    <w:p w:rsidR="002D59D0" w:rsidRDefault="00155741" w:rsidP="00355B99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戴维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冈克尔（北伊利诺伊大学）</w:t>
      </w:r>
    </w:p>
    <w:p w:rsidR="002D59D0" w:rsidRDefault="002D59D0" w:rsidP="00355B99">
      <w:pPr>
        <w:ind w:firstLineChars="200" w:firstLine="420"/>
        <w:jc w:val="left"/>
        <w:rPr>
          <w:color w:val="000000"/>
          <w:szCs w:val="21"/>
        </w:rPr>
      </w:pPr>
    </w:p>
    <w:p w:rsidR="002D59D0" w:rsidRDefault="00155741" w:rsidP="00355B99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本书质量堪称卓越。科克伯格以学生友好的清晰文笔，令读者通过阅读对技术哲学乃至整个哲学领域产生浓厚兴趣。</w:t>
      </w:r>
      <w:r>
        <w:rPr>
          <w:rFonts w:hint="eastAsia"/>
          <w:color w:val="000000"/>
          <w:szCs w:val="21"/>
        </w:rPr>
        <w:t>”</w:t>
      </w:r>
    </w:p>
    <w:p w:rsidR="002D59D0" w:rsidRDefault="00155741" w:rsidP="00355B99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黛安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米歇尔菲尔德（马卡莱斯特学院）</w:t>
      </w:r>
    </w:p>
    <w:p w:rsidR="002D59D0" w:rsidRDefault="002D59D0" w:rsidP="00355B99">
      <w:pPr>
        <w:ind w:firstLineChars="200" w:firstLine="420"/>
        <w:jc w:val="right"/>
        <w:rPr>
          <w:color w:val="000000"/>
          <w:szCs w:val="21"/>
        </w:rPr>
      </w:pPr>
    </w:p>
    <w:p w:rsidR="002D59D0" w:rsidRDefault="002D59D0" w:rsidP="00355B99">
      <w:pPr>
        <w:ind w:firstLineChars="200" w:firstLine="420"/>
        <w:jc w:val="right"/>
        <w:rPr>
          <w:color w:val="000000"/>
          <w:szCs w:val="21"/>
        </w:rPr>
      </w:pPr>
    </w:p>
    <w:p w:rsidR="002D59D0" w:rsidRDefault="00155741" w:rsidP="00355B9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2D59D0" w:rsidRDefault="002D59D0" w:rsidP="00355B99">
      <w:pPr>
        <w:rPr>
          <w:b/>
          <w:bCs/>
          <w:color w:val="000000"/>
          <w:szCs w:val="21"/>
        </w:rPr>
      </w:pPr>
    </w:p>
    <w:p w:rsidR="002D59D0" w:rsidRDefault="00155741" w:rsidP="00355B99">
      <w:pPr>
        <w:tabs>
          <w:tab w:val="left" w:pos="641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导论：何为技术哲学？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技术：核技术与原子弹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1.1 </w:t>
      </w:r>
      <w:r>
        <w:rPr>
          <w:rFonts w:hint="eastAsia"/>
          <w:color w:val="000000"/>
          <w:szCs w:val="21"/>
        </w:rPr>
        <w:t>技术之思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1.2 </w:t>
      </w:r>
      <w:r>
        <w:rPr>
          <w:rFonts w:hint="eastAsia"/>
          <w:color w:val="000000"/>
          <w:szCs w:val="21"/>
        </w:rPr>
        <w:t>研究方法、全书结构与章节概要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历史与图景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案例：技术、知识与记忆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2.1 </w:t>
      </w:r>
      <w:r>
        <w:rPr>
          <w:rFonts w:hint="eastAsia"/>
          <w:color w:val="000000"/>
          <w:szCs w:val="21"/>
        </w:rPr>
        <w:t>起源：两个古代神话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焦点：贝尔纳·斯蒂格勒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2.2 </w:t>
      </w:r>
      <w:r>
        <w:rPr>
          <w:rFonts w:hint="eastAsia"/>
          <w:color w:val="000000"/>
          <w:szCs w:val="21"/>
        </w:rPr>
        <w:t>学科简史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技术：时间机器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2.3 </w:t>
      </w:r>
      <w:r>
        <w:rPr>
          <w:rFonts w:hint="eastAsia"/>
          <w:color w:val="000000"/>
          <w:szCs w:val="21"/>
        </w:rPr>
        <w:t>历史语境、学科格局与批判性质疑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技术：工业革命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焦点：卡尔·米切姆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</w:t>
      </w:r>
      <w:r>
        <w:rPr>
          <w:rFonts w:hint="eastAsia"/>
          <w:b/>
          <w:bCs/>
          <w:color w:val="000000"/>
          <w:szCs w:val="21"/>
        </w:rPr>
        <w:t>从理论出发思考技术</w:t>
      </w:r>
    </w:p>
    <w:p w:rsidR="002D59D0" w:rsidRDefault="002D59D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现象学与解释学：海德格尔、麦克卢汉与当代研究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技术：机器人技术与人工智能——关于掌控的追问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3.1 </w:t>
      </w:r>
      <w:r>
        <w:rPr>
          <w:rFonts w:hint="eastAsia"/>
          <w:color w:val="000000"/>
          <w:szCs w:val="21"/>
        </w:rPr>
        <w:t>海德格尔《技术的追问》：超越工具性技术理解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焦点：马丁·海德格尔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3.2 </w:t>
      </w:r>
      <w:r>
        <w:rPr>
          <w:rFonts w:hint="eastAsia"/>
          <w:color w:val="000000"/>
          <w:szCs w:val="21"/>
        </w:rPr>
        <w:t>麦克卢汉的媒介理解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焦点：马歇尔·麦克卢汉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焦点：莫里斯·梅洛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庞蒂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技术：互联网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3.3 </w:t>
      </w:r>
      <w:r>
        <w:rPr>
          <w:rFonts w:hint="eastAsia"/>
          <w:color w:val="000000"/>
          <w:szCs w:val="21"/>
        </w:rPr>
        <w:t>技术现象学与解释学当代研究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技术：人工智能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焦点：休伯特·德雷福斯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后现象学、物质解释学与中介理论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技术：驾驶汽车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4.1 </w:t>
      </w:r>
      <w:r>
        <w:rPr>
          <w:rFonts w:hint="eastAsia"/>
          <w:color w:val="000000"/>
          <w:szCs w:val="21"/>
        </w:rPr>
        <w:t>导言：经验转向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4.2 </w:t>
      </w:r>
      <w:r>
        <w:rPr>
          <w:rFonts w:hint="eastAsia"/>
          <w:color w:val="000000"/>
          <w:szCs w:val="21"/>
        </w:rPr>
        <w:t>伊德的后现象学与物质解释学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焦点：唐·伊德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技术：作为准他者的机器人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4.3 </w:t>
      </w:r>
      <w:proofErr w:type="gramStart"/>
      <w:r>
        <w:rPr>
          <w:rFonts w:hint="eastAsia"/>
          <w:color w:val="000000"/>
          <w:szCs w:val="21"/>
        </w:rPr>
        <w:t>当代后</w:t>
      </w:r>
      <w:proofErr w:type="gramEnd"/>
      <w:r>
        <w:rPr>
          <w:rFonts w:hint="eastAsia"/>
          <w:color w:val="000000"/>
          <w:szCs w:val="21"/>
        </w:rPr>
        <w:t>现象学与中介理论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焦点：彼得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保罗·韦尔贝克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案例：医学超声检查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4.4 </w:t>
      </w:r>
      <w:r>
        <w:rPr>
          <w:rFonts w:hint="eastAsia"/>
          <w:color w:val="000000"/>
          <w:szCs w:val="21"/>
        </w:rPr>
        <w:t>批判性讨论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批判理论与女性主义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案例：企业资本主义语境中的数字技术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5.1 </w:t>
      </w:r>
      <w:r>
        <w:rPr>
          <w:rFonts w:hint="eastAsia"/>
          <w:color w:val="000000"/>
          <w:szCs w:val="21"/>
        </w:rPr>
        <w:t>马克思：政治经济学与技术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焦点：卡尔·马克思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5.2 </w:t>
      </w:r>
      <w:r>
        <w:rPr>
          <w:rFonts w:hint="eastAsia"/>
          <w:color w:val="000000"/>
          <w:szCs w:val="21"/>
        </w:rPr>
        <w:t>马克思</w:t>
      </w:r>
      <w:r>
        <w:rPr>
          <w:rFonts w:hint="eastAsia"/>
          <w:color w:val="000000"/>
          <w:szCs w:val="21"/>
        </w:rPr>
        <w:t>2.0</w:t>
      </w:r>
      <w:r>
        <w:rPr>
          <w:rFonts w:hint="eastAsia"/>
          <w:color w:val="000000"/>
          <w:szCs w:val="21"/>
        </w:rPr>
        <w:t>：社交媒体与剥削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技术：社交媒体与</w:t>
      </w:r>
      <w:r>
        <w:rPr>
          <w:rFonts w:hint="eastAsia"/>
          <w:color w:val="000000"/>
          <w:szCs w:val="21"/>
        </w:rPr>
        <w:t>Web 2.0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5.3 </w:t>
      </w:r>
      <w:r>
        <w:rPr>
          <w:rFonts w:hint="eastAsia"/>
          <w:color w:val="000000"/>
          <w:szCs w:val="21"/>
        </w:rPr>
        <w:t>超越马克思的技术批判理论：从马尔库塞、福</w:t>
      </w:r>
      <w:proofErr w:type="gramStart"/>
      <w:r>
        <w:rPr>
          <w:rFonts w:hint="eastAsia"/>
          <w:color w:val="000000"/>
          <w:szCs w:val="21"/>
        </w:rPr>
        <w:t>柯到芬伯</w:t>
      </w:r>
      <w:proofErr w:type="gramEnd"/>
      <w:r>
        <w:rPr>
          <w:rFonts w:hint="eastAsia"/>
          <w:color w:val="000000"/>
          <w:szCs w:val="21"/>
        </w:rPr>
        <w:t>格与温纳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焦点：米歇尔·福柯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案例：监视：圆形监狱与机场安检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案例：偏见算法与损害消费者利益的算法：职业筛选、刑事司法与在线商店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焦点：安德鲁·芬</w:t>
      </w:r>
      <w:r>
        <w:rPr>
          <w:rFonts w:hint="eastAsia"/>
          <w:color w:val="000000"/>
          <w:szCs w:val="21"/>
        </w:rPr>
        <w:t>伯格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焦点：兰登·温纳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5.4 </w:t>
      </w:r>
      <w:r>
        <w:rPr>
          <w:rFonts w:hint="eastAsia"/>
          <w:color w:val="000000"/>
          <w:szCs w:val="21"/>
        </w:rPr>
        <w:t>女性主义技术思考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案例：家用机器人设计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焦点：唐娜·哈拉维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5.5 </w:t>
      </w:r>
      <w:r>
        <w:rPr>
          <w:rFonts w:hint="eastAsia"/>
          <w:color w:val="000000"/>
          <w:szCs w:val="21"/>
        </w:rPr>
        <w:t>批判性讨论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实用主义、分析路径与跨文化哲学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技术：新生儿护理与技术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6.1 </w:t>
      </w:r>
      <w:r>
        <w:rPr>
          <w:rFonts w:hint="eastAsia"/>
          <w:color w:val="000000"/>
          <w:szCs w:val="21"/>
        </w:rPr>
        <w:t>实用主义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焦点：约翰·杜威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6.2 </w:t>
      </w:r>
      <w:r>
        <w:rPr>
          <w:rFonts w:hint="eastAsia"/>
          <w:color w:val="000000"/>
          <w:szCs w:val="21"/>
        </w:rPr>
        <w:t>分析技术哲学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技术：货币与当代金融技术（加密货币与区块链）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焦点：约翰·塞尔的社会本体论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6.3 </w:t>
      </w:r>
      <w:r>
        <w:rPr>
          <w:rFonts w:hint="eastAsia"/>
          <w:color w:val="000000"/>
          <w:szCs w:val="21"/>
        </w:rPr>
        <w:t>跨文化</w:t>
      </w:r>
      <w:r>
        <w:rPr>
          <w:rFonts w:hint="eastAsia"/>
          <w:color w:val="000000"/>
          <w:szCs w:val="21"/>
        </w:rPr>
        <w:t>/</w:t>
      </w:r>
      <w:proofErr w:type="gramStart"/>
      <w:r>
        <w:rPr>
          <w:rFonts w:hint="eastAsia"/>
          <w:color w:val="000000"/>
          <w:szCs w:val="21"/>
        </w:rPr>
        <w:t>超文化</w:t>
      </w:r>
      <w:proofErr w:type="gramEnd"/>
      <w:r>
        <w:rPr>
          <w:rFonts w:hint="eastAsia"/>
          <w:color w:val="000000"/>
          <w:szCs w:val="21"/>
        </w:rPr>
        <w:t>技术哲学？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焦点：吉尔伯特·西蒙东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技术：数字通信技术与美好生活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从技术出发思考技术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从信息技术到信息哲学与伦理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技术：数字与虚拟世界、《黑客帝国》及其超越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7.1 </w:t>
      </w: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焦点：诺伯特·维纳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7.2 </w:t>
      </w:r>
      <w:r>
        <w:rPr>
          <w:rFonts w:hint="eastAsia"/>
          <w:color w:val="000000"/>
          <w:szCs w:val="21"/>
        </w:rPr>
        <w:t>信息万象：弗洛里迪的信息哲学与伦理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技术：假新闻与互联网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7.3 </w:t>
      </w:r>
      <w:r>
        <w:rPr>
          <w:rFonts w:hint="eastAsia"/>
          <w:color w:val="000000"/>
          <w:szCs w:val="21"/>
        </w:rPr>
        <w:t>批判性讨论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7.4 </w:t>
      </w:r>
      <w:r>
        <w:rPr>
          <w:rFonts w:hint="eastAsia"/>
          <w:color w:val="000000"/>
          <w:szCs w:val="21"/>
        </w:rPr>
        <w:t>技术哲学的结论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从机器人学与人工智能到道德地位与人际关系思考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案例：自动驾驶汽车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8.1 </w:t>
      </w: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8.2 </w:t>
      </w:r>
      <w:r>
        <w:rPr>
          <w:rFonts w:hint="eastAsia"/>
          <w:color w:val="000000"/>
          <w:szCs w:val="21"/>
        </w:rPr>
        <w:t>道德机器？关于道德能动性的讨论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案例：偏见算法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8.3 </w:t>
      </w:r>
      <w:r>
        <w:rPr>
          <w:rFonts w:hint="eastAsia"/>
          <w:color w:val="000000"/>
          <w:szCs w:val="21"/>
        </w:rPr>
        <w:t>关于道德受动性的讨论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8.4 </w:t>
      </w:r>
      <w:r>
        <w:rPr>
          <w:rFonts w:hint="eastAsia"/>
          <w:color w:val="000000"/>
          <w:szCs w:val="21"/>
        </w:rPr>
        <w:t>问题转向：走向关系型思考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焦点：伊曼纽尔·列维纳斯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8.5 </w:t>
      </w:r>
      <w:r>
        <w:rPr>
          <w:rFonts w:hint="eastAsia"/>
          <w:color w:val="000000"/>
          <w:szCs w:val="21"/>
        </w:rPr>
        <w:t>性爱机器人争论与人际关系：女性主义（平等主义）追问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技术：性爱机器人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8.6 </w:t>
      </w:r>
      <w:r>
        <w:rPr>
          <w:rFonts w:hint="eastAsia"/>
          <w:color w:val="000000"/>
          <w:szCs w:val="21"/>
        </w:rPr>
        <w:t>人类、非人类与超人类存在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</w:t>
      </w:r>
      <w:r>
        <w:rPr>
          <w:rFonts w:hint="eastAsia"/>
          <w:color w:val="000000"/>
          <w:szCs w:val="21"/>
        </w:rPr>
        <w:t>从基因工程与赛</w:t>
      </w:r>
      <w:proofErr w:type="gramStart"/>
      <w:r>
        <w:rPr>
          <w:rFonts w:hint="eastAsia"/>
          <w:color w:val="000000"/>
          <w:szCs w:val="21"/>
        </w:rPr>
        <w:t>博格到超人</w:t>
      </w:r>
      <w:proofErr w:type="gramEnd"/>
      <w:r>
        <w:rPr>
          <w:rFonts w:hint="eastAsia"/>
          <w:color w:val="000000"/>
          <w:szCs w:val="21"/>
        </w:rPr>
        <w:t>类主义与后人类主义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技术：基因编辑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9.1 </w:t>
      </w: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9.2 </w:t>
      </w:r>
      <w:r>
        <w:rPr>
          <w:rFonts w:hint="eastAsia"/>
          <w:color w:val="000000"/>
          <w:szCs w:val="21"/>
        </w:rPr>
        <w:t>超人类主义与人类增强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9.3 </w:t>
      </w:r>
      <w:r>
        <w:rPr>
          <w:rFonts w:hint="eastAsia"/>
          <w:color w:val="000000"/>
          <w:szCs w:val="21"/>
        </w:rPr>
        <w:t>后人类主义与赛博格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焦点：哈拉维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焦点：斯特拉拉克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　焦点：布鲁诺·拉图尔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从气候变化与地球工程到对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自然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的质疑与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人类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思辨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技术：太阳辐射管理作为地球工程方法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10.1 </w:t>
      </w:r>
      <w:r>
        <w:rPr>
          <w:rFonts w:hint="eastAsia"/>
          <w:color w:val="000000"/>
          <w:szCs w:val="21"/>
        </w:rPr>
        <w:t>导言：地球危机启示录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10.2 "</w:t>
      </w:r>
      <w:r>
        <w:rPr>
          <w:rFonts w:hint="eastAsia"/>
          <w:color w:val="000000"/>
          <w:szCs w:val="21"/>
        </w:rPr>
        <w:t>自然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之困：现代与非现代进路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技术：中央供暖与燃木火炉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10.3 </w:t>
      </w:r>
      <w:r>
        <w:rPr>
          <w:rFonts w:hint="eastAsia"/>
          <w:color w:val="000000"/>
          <w:szCs w:val="21"/>
        </w:rPr>
        <w:t>人类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：若干哲学回应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</w:t>
      </w:r>
      <w:r>
        <w:rPr>
          <w:rFonts w:hint="eastAsia"/>
          <w:b/>
          <w:bCs/>
          <w:color w:val="000000"/>
          <w:szCs w:val="21"/>
        </w:rPr>
        <w:t>四</w:t>
      </w:r>
      <w:r>
        <w:rPr>
          <w:rFonts w:hint="eastAsia"/>
          <w:b/>
          <w:bCs/>
          <w:color w:val="000000"/>
          <w:szCs w:val="21"/>
        </w:rPr>
        <w:t>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超越技术哲学的思考（技术哲学</w:t>
      </w:r>
      <w:r>
        <w:rPr>
          <w:rFonts w:hint="eastAsia"/>
          <w:b/>
          <w:bCs/>
          <w:color w:val="000000"/>
          <w:szCs w:val="21"/>
        </w:rPr>
        <w:t>+</w:t>
      </w:r>
      <w:r>
        <w:rPr>
          <w:rFonts w:hint="eastAsia"/>
          <w:b/>
          <w:bCs/>
          <w:color w:val="000000"/>
          <w:szCs w:val="21"/>
        </w:rPr>
        <w:t>）</w:t>
      </w:r>
    </w:p>
    <w:p w:rsidR="002D59D0" w:rsidRDefault="002D59D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 </w:t>
      </w:r>
      <w:r>
        <w:rPr>
          <w:rFonts w:hint="eastAsia"/>
          <w:color w:val="000000"/>
          <w:szCs w:val="21"/>
        </w:rPr>
        <w:t>技术哲学与其他哲学：重联哲学子学科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技术：社交媒体</w:t>
      </w:r>
      <w:r>
        <w:rPr>
          <w:rFonts w:hint="eastAsia"/>
          <w:color w:val="000000"/>
          <w:szCs w:val="21"/>
        </w:rPr>
        <w:t>(2)</w:t>
      </w:r>
      <w:r>
        <w:rPr>
          <w:rFonts w:hint="eastAsia"/>
          <w:color w:val="000000"/>
          <w:szCs w:val="21"/>
        </w:rPr>
        <w:t>及其生活影响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11.1 </w:t>
      </w: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11.2 </w:t>
      </w:r>
      <w:r>
        <w:rPr>
          <w:rFonts w:hint="eastAsia"/>
          <w:color w:val="000000"/>
          <w:szCs w:val="21"/>
        </w:rPr>
        <w:t>伦理学与道德哲学：德性之思与技术之思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11.3 </w:t>
      </w:r>
      <w:r>
        <w:rPr>
          <w:rFonts w:hint="eastAsia"/>
          <w:color w:val="000000"/>
          <w:szCs w:val="21"/>
        </w:rPr>
        <w:t>哲学人类学：人之思与技术之思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技术：人工耳蜗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11.4 </w:t>
      </w:r>
      <w:r>
        <w:rPr>
          <w:rFonts w:hint="eastAsia"/>
          <w:color w:val="000000"/>
          <w:szCs w:val="21"/>
        </w:rPr>
        <w:t>语言哲学：语言之思与技术之思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焦点：约翰·塞尔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路德维希·维特根斯坦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11.5 </w:t>
      </w:r>
      <w:r>
        <w:rPr>
          <w:rFonts w:hint="eastAsia"/>
          <w:color w:val="000000"/>
          <w:szCs w:val="21"/>
        </w:rPr>
        <w:t>其他子领域例示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11.6 </w:t>
      </w:r>
      <w:r>
        <w:rPr>
          <w:rFonts w:hint="eastAsia"/>
          <w:color w:val="000000"/>
          <w:szCs w:val="21"/>
        </w:rPr>
        <w:t>技术哲学家的结论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 </w:t>
      </w:r>
      <w:r>
        <w:rPr>
          <w:rFonts w:hint="eastAsia"/>
          <w:color w:val="000000"/>
          <w:szCs w:val="21"/>
        </w:rPr>
        <w:t>技术哲学与其他学科：跨学科与超学科研究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技术：机器人学与跨学科性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12.1 </w:t>
      </w:r>
      <w:r>
        <w:rPr>
          <w:rFonts w:hint="eastAsia"/>
          <w:color w:val="000000"/>
          <w:szCs w:val="21"/>
        </w:rPr>
        <w:t>导言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12.2 </w:t>
      </w:r>
      <w:r>
        <w:rPr>
          <w:rFonts w:hint="eastAsia"/>
          <w:color w:val="000000"/>
          <w:szCs w:val="21"/>
        </w:rPr>
        <w:t>技术哲学家超学科工作范例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焦点：德博拉·约翰逊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技术：人形机器人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焦点：维贝·比杰克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12.3 </w:t>
      </w:r>
      <w:r>
        <w:rPr>
          <w:rFonts w:hint="eastAsia"/>
          <w:color w:val="000000"/>
          <w:szCs w:val="21"/>
        </w:rPr>
        <w:t>超学科工作的挑战</w:t>
      </w:r>
    </w:p>
    <w:p w:rsidR="002D59D0" w:rsidRDefault="002D59D0">
      <w:pPr>
        <w:tabs>
          <w:tab w:val="left" w:pos="641"/>
        </w:tabs>
        <w:ind w:right="420"/>
        <w:rPr>
          <w:color w:val="000000"/>
          <w:szCs w:val="21"/>
        </w:rPr>
      </w:pP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 </w:t>
      </w:r>
      <w:r>
        <w:rPr>
          <w:rFonts w:hint="eastAsia"/>
          <w:color w:val="000000"/>
          <w:szCs w:val="21"/>
        </w:rPr>
        <w:t>技术哲学与学术界外的实践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案例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技术：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杀人无人机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与行动主义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13.1 </w:t>
      </w:r>
      <w:r>
        <w:rPr>
          <w:rFonts w:hint="eastAsia"/>
          <w:color w:val="000000"/>
          <w:szCs w:val="21"/>
        </w:rPr>
        <w:t>超越学术界：创新、政策与艺术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焦点：耶罗恩·范登霍文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焦点：罗伯特·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罗德曼</w:t>
      </w:r>
    </w:p>
    <w:p w:rsidR="002D59D0" w:rsidRDefault="00155741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技术：智能手机、平板与其他智能设备</w:t>
      </w:r>
    </w:p>
    <w:p w:rsidR="002D59D0" w:rsidRDefault="00155741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13.2 </w:t>
      </w:r>
      <w:r>
        <w:rPr>
          <w:rFonts w:hint="eastAsia"/>
          <w:color w:val="000000"/>
          <w:szCs w:val="21"/>
        </w:rPr>
        <w:t>技术哲学研究未来方向与教育影响建议</w:t>
      </w:r>
    </w:p>
    <w:p w:rsidR="002D59D0" w:rsidRDefault="002D59D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D59D0" w:rsidRDefault="002D59D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D59D0" w:rsidRDefault="00155741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2D59D0" w:rsidRDefault="0015574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2D59D0" w:rsidRDefault="0015574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8" w:history="1">
        <w:r>
          <w:rPr>
            <w:rStyle w:val="a9"/>
            <w:b/>
            <w:bCs/>
          </w:rPr>
          <w:t>Rights@nurnberg.com.cn</w:t>
        </w:r>
      </w:hyperlink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9" w:history="1">
        <w:r>
          <w:rPr>
            <w:rStyle w:val="a9"/>
          </w:rPr>
          <w:t>http://www.nurnberg.com.cn</w:t>
        </w:r>
      </w:hyperlink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0" w:history="1">
        <w:r>
          <w:rPr>
            <w:rStyle w:val="a9"/>
          </w:rPr>
          <w:t>http://www.nurnberg.com.cn/booklist_zh/list.aspx</w:t>
        </w:r>
      </w:hyperlink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1" w:history="1">
        <w:r>
          <w:rPr>
            <w:rStyle w:val="a9"/>
          </w:rPr>
          <w:t>http://www.nurnberg.com.cn/book/book.aspx</w:t>
        </w:r>
      </w:hyperlink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2" w:history="1">
        <w:r>
          <w:rPr>
            <w:rStyle w:val="a9"/>
          </w:rPr>
          <w:t>http://www.nurnberg.com.cn/video/video.aspx</w:t>
        </w:r>
      </w:hyperlink>
    </w:p>
    <w:p w:rsidR="002D59D0" w:rsidRDefault="00155741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3" w:history="1">
        <w:r>
          <w:rPr>
            <w:rStyle w:val="a9"/>
          </w:rPr>
          <w:t>http://site.douban.com/110577/</w:t>
        </w:r>
      </w:hyperlink>
    </w:p>
    <w:p w:rsidR="002D59D0" w:rsidRDefault="00155741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2D59D0" w:rsidRDefault="00155741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2D59D0" w:rsidRDefault="00155741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D0" w:rsidRDefault="002D59D0">
      <w:pPr>
        <w:widowControl/>
        <w:jc w:val="left"/>
        <w:rPr>
          <w:color w:val="000000"/>
        </w:rPr>
      </w:pPr>
    </w:p>
    <w:sectPr w:rsidR="002D59D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41" w:rsidRDefault="00155741">
      <w:r>
        <w:separator/>
      </w:r>
    </w:p>
  </w:endnote>
  <w:endnote w:type="continuationSeparator" w:id="0">
    <w:p w:rsidR="00155741" w:rsidRDefault="001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D0" w:rsidRDefault="002D59D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D59D0" w:rsidRDefault="002D59D0">
    <w:pPr>
      <w:jc w:val="center"/>
      <w:rPr>
        <w:rFonts w:ascii="方正姚体" w:eastAsia="方正姚体"/>
        <w:sz w:val="18"/>
      </w:rPr>
    </w:pPr>
  </w:p>
  <w:p w:rsidR="002D59D0" w:rsidRDefault="001557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2D59D0" w:rsidRDefault="001557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2D59D0" w:rsidRDefault="001557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D59D0" w:rsidRDefault="002D59D0">
    <w:pPr>
      <w:pStyle w:val="a4"/>
      <w:jc w:val="center"/>
      <w:rPr>
        <w:rFonts w:eastAsia="方正姚体"/>
      </w:rPr>
    </w:pPr>
  </w:p>
  <w:p w:rsidR="002D59D0" w:rsidRDefault="0015574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5B9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41" w:rsidRDefault="00155741">
      <w:r>
        <w:separator/>
      </w:r>
    </w:p>
  </w:footnote>
  <w:footnote w:type="continuationSeparator" w:id="0">
    <w:p w:rsidR="00155741" w:rsidRDefault="0015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D0" w:rsidRDefault="0015574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59D0" w:rsidRDefault="0015574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4FE7"/>
    <w:multiLevelType w:val="hybridMultilevel"/>
    <w:tmpl w:val="43A440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55741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9D0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55B99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272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F3E0224"/>
    <w:rsid w:val="1BA86C22"/>
    <w:rsid w:val="20C7506B"/>
    <w:rsid w:val="2C0B6F0E"/>
    <w:rsid w:val="2CB75CA1"/>
    <w:rsid w:val="2DA34CE1"/>
    <w:rsid w:val="3AE04ADC"/>
    <w:rsid w:val="3C1934F8"/>
    <w:rsid w:val="3EB71F96"/>
    <w:rsid w:val="432C279F"/>
    <w:rsid w:val="46B43896"/>
    <w:rsid w:val="4C156891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A968B3-02B0-4D36-9EB3-96267EB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1643</Words>
  <Characters>2005</Characters>
  <Application>Microsoft Office Word</Application>
  <DocSecurity>0</DocSecurity>
  <Lines>154</Lines>
  <Paragraphs>214</Paragraphs>
  <ScaleCrop>false</ScaleCrop>
  <Company>2ndSpAcE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2025-09-02T06:15:00Z</dcterms:created>
  <dcterms:modified xsi:type="dcterms:W3CDTF">2025-09-02T06:19:00Z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