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09-30 100052.png屏幕截图 2025-09-30 10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30 100052.png屏幕截图 2025-09-30 100052"/>
                    <pic:cNvPicPr>
                      <a:picLocks noChangeAspect="1"/>
                    </pic:cNvPicPr>
                  </pic:nvPicPr>
                  <pic:blipFill>
                    <a:blip r:embed="rId6"/>
                    <a:srcRect t="1571" b="1571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《今日份幽默：练习笑对人生的艺术</w:t>
      </w:r>
      <w:bookmarkStart w:id="1" w:name="_GoBack"/>
      <w:bookmarkEnd w:id="1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Humor Me: How Laughing More Can Make You Present, Creative, Connected, and Happy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Chris Duffy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663DA12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</w:rPr>
        <w:t>Doubleday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UTA/ANA/Jessica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272页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心灵励志</w:t>
      </w:r>
    </w:p>
    <w:p w14:paraId="55896EF0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Best Sellers Rank:</w:t>
      </w:r>
    </w:p>
    <w:p w14:paraId="781A5515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#981 in Stress Management Self-Help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E322AB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十四年前，当克里斯·达菲还是一名疲惫的五年级教师时，他遇到了人生中最幽默的灵魂：十一岁的加里。这位校报首席美食评论家曾犀利点评食堂披萨</w:t>
      </w:r>
      <w:r>
        <w:rPr>
          <w:rFonts w:hint="eastAsia"/>
          <w:bCs/>
          <w:kern w:val="0"/>
          <w:szCs w:val="21"/>
          <w:lang w:eastAsia="zh-CN"/>
        </w:rPr>
        <w:t>“</w:t>
      </w:r>
      <w:r>
        <w:rPr>
          <w:rFonts w:hint="eastAsia"/>
          <w:bCs/>
          <w:kern w:val="0"/>
          <w:szCs w:val="21"/>
        </w:rPr>
        <w:t>硬如纸板</w:t>
      </w:r>
      <w:r>
        <w:rPr>
          <w:rFonts w:hint="eastAsia"/>
          <w:bCs/>
          <w:kern w:val="0"/>
          <w:szCs w:val="21"/>
          <w:lang w:eastAsia="zh-CN"/>
        </w:rPr>
        <w:t>”</w:t>
      </w:r>
      <w:r>
        <w:rPr>
          <w:rFonts w:hint="eastAsia"/>
          <w:bCs/>
          <w:kern w:val="0"/>
          <w:szCs w:val="21"/>
        </w:rPr>
        <w:t>，烤豆子</w:t>
      </w:r>
      <w:r>
        <w:rPr>
          <w:rFonts w:hint="eastAsia"/>
          <w:bCs/>
          <w:kern w:val="0"/>
          <w:szCs w:val="21"/>
          <w:lang w:eastAsia="zh-CN"/>
        </w:rPr>
        <w:t>“</w:t>
      </w:r>
      <w:r>
        <w:rPr>
          <w:rFonts w:hint="eastAsia"/>
          <w:bCs/>
          <w:kern w:val="0"/>
          <w:szCs w:val="21"/>
        </w:rPr>
        <w:t>豆味不足</w:t>
      </w:r>
      <w:r>
        <w:rPr>
          <w:rFonts w:hint="eastAsia"/>
          <w:bCs/>
          <w:kern w:val="0"/>
          <w:szCs w:val="21"/>
          <w:lang w:eastAsia="zh-CN"/>
        </w:rPr>
        <w:t>”</w:t>
      </w:r>
      <w:r>
        <w:rPr>
          <w:rFonts w:hint="eastAsia"/>
          <w:bCs/>
          <w:kern w:val="0"/>
          <w:szCs w:val="21"/>
        </w:rPr>
        <w:t>。如今已成为单口喜剧演员、百万听众播客主持的达菲，始终难忘那个波士顿阴郁冬日与加里共度的欢笑时光。加里让他领悟：缺乏幽默感的生活终将黯然失色。</w:t>
      </w:r>
    </w:p>
    <w:p w14:paraId="7B8E57F6">
      <w:pPr>
        <w:ind w:firstLine="420" w:firstLineChars="200"/>
        <w:rPr>
          <w:rFonts w:hint="eastAsia"/>
          <w:bCs/>
          <w:kern w:val="0"/>
          <w:szCs w:val="21"/>
        </w:rPr>
      </w:pPr>
    </w:p>
    <w:p w14:paraId="5504EEA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这不仅是关于新英格兰成人与毒舌孩童的温情故事，更是一场在不苟言笑的世界里探寻幽默真义的旅程。当苦痛弥漫，我们为何（以及如何）欢笑？从喜剧俱乐部到急诊室，从载满海豹突击队员的直升机，达菲在无数场景中发掘幽默被低估的力量。</w:t>
      </w:r>
    </w:p>
    <w:p w14:paraId="0C2DFE2C">
      <w:pPr>
        <w:ind w:firstLine="420" w:firstLineChars="200"/>
        <w:rPr>
          <w:rFonts w:hint="eastAsia"/>
          <w:bCs/>
          <w:kern w:val="0"/>
          <w:szCs w:val="21"/>
        </w:rPr>
      </w:pPr>
    </w:p>
    <w:p w14:paraId="51B7650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达菲以标志性的好奇心与机智，探索欢笑如何引领我们接近美好生活。本书满载缔造欢笑、深情谊与生命意义的实用策略，更是一段令你全程捧腹的阅读体验。恰如那盘食堂豆子，这本书将成为令你回味多年的独特体验。</w:t>
      </w:r>
    </w:p>
    <w:p w14:paraId="56C702B1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0FBC6782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克里斯·达菲（</w:t>
      </w:r>
      <w:r>
        <w:rPr>
          <w:rFonts w:hint="eastAsia"/>
          <w:b/>
          <w:bCs/>
          <w:color w:val="000000"/>
          <w:szCs w:val="21"/>
          <w:highlight w:val="none"/>
        </w:rPr>
        <w:t>Chris Duffy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单口喜剧演员，曾任电视编剧（HBO《怀亚特·西纳克的问题领域》、国家地理《探险家》栏目），现任TED热门播客《如何成为更好的人类》主持人，该节目荣获2025年威比奖"建议与实操类播客"奖项。常现身《早安美国》、ABC新闻与NPR等媒体。</w:t>
      </w:r>
    </w:p>
    <w:p w14:paraId="7C66EA1C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B99A9B4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7F714857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FE83900">
      <w:pPr>
        <w:tabs>
          <w:tab w:val="left" w:pos="641"/>
        </w:tabs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克里斯·达菲是让我嫉妒的作家——不仅幽默绝顶，更做到了幽默作家罕能之事：深度调研。读完这本书我更快乐了，迫不及待想与人分享书中趣识，还对小学午餐点评产生了全新敬意。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</w:p>
    <w:p w14:paraId="6CF0E134">
      <w:pPr>
        <w:tabs>
          <w:tab w:val="left" w:pos="641"/>
        </w:tabs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——贝斯·卡尔布（艾美奖提名喜剧编剧）</w:t>
      </w:r>
    </w:p>
    <w:p w14:paraId="1E990B4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2EE2077">
      <w:pPr>
        <w:tabs>
          <w:tab w:val="left" w:pos="641"/>
        </w:tabs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因反复重读段落、记录笔记并与妻子分享精彩内容，我错过了推荐语截止期。幸获延期才能写下：多么精彩的作品！风趣、睿智、启迪人心、实用至上…感谢你创作此书，克里斯。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</w:p>
    <w:p w14:paraId="2D50FA4D">
      <w:pPr>
        <w:tabs>
          <w:tab w:val="left" w:pos="641"/>
        </w:tabs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——A.J.雅各布斯（《纽约时报》畅销书作者）</w:t>
      </w:r>
    </w:p>
    <w:p w14:paraId="1B335D7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29067CB">
      <w:pPr>
        <w:tabs>
          <w:tab w:val="left" w:pos="641"/>
        </w:tabs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达菲兼具幽默感与好奇心，这使他成为绝佳向导，不仅传授幽默技巧，更揭示笑声随年龄增长、应对困境与人际联结中的深层意义。另：他已同意将长子冠我之名，特此立字为据。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</w:p>
    <w:p w14:paraId="77F53979">
      <w:pPr>
        <w:tabs>
          <w:tab w:val="left" w:pos="641"/>
        </w:tabs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——怀亚特·西纳克（艾美奖得主喜剧演员）</w:t>
      </w:r>
    </w:p>
    <w:p w14:paraId="5A42FCB5">
      <w:pPr>
        <w:tabs>
          <w:tab w:val="left" w:pos="641"/>
        </w:tabs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5D0EB73">
      <w:pPr>
        <w:tabs>
          <w:tab w:val="left" w:pos="641"/>
        </w:tabs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F26E3FE">
      <w:pPr>
        <w:tabs>
          <w:tab w:val="left" w:pos="641"/>
        </w:tabs>
        <w:ind w:right="42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460EF485">
      <w:pPr>
        <w:tabs>
          <w:tab w:val="left" w:pos="641"/>
        </w:tabs>
        <w:ind w:right="42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4FA0480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引言：我遇见的最幽默的人</w:t>
      </w:r>
    </w:p>
    <w:p w14:paraId="322A5E05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EDE5748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第一章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第一支柱：专注当下（觉察世间荒诞）</w:t>
      </w:r>
    </w:p>
    <w:p w14:paraId="23419374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第二章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第二支柱：自我解嘲（发现内心奇趣）</w:t>
      </w:r>
    </w:p>
    <w:p w14:paraId="27716764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第三章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第三支柱：社交冒险（无惧成为笑料）</w:t>
      </w:r>
    </w:p>
    <w:p w14:paraId="3BC11560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第四章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幽默的数学原理（制造笑点的实操逻辑）</w:t>
      </w:r>
    </w:p>
    <w:p w14:paraId="1D313E43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第五章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成为魅力磁场（用幽默建立人际联结）</w:t>
      </w:r>
    </w:p>
    <w:p w14:paraId="69C111F0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第六章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与林肯总统的暗号（幽默塑造群体认同）</w:t>
      </w:r>
    </w:p>
    <w:p w14:paraId="72F750D5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第七章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次佳良药（笑声在疗愈中的作用）</w:t>
      </w:r>
    </w:p>
    <w:p w14:paraId="3D2D3104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第八章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比"我发现了"更兴奋（幽默驱动创新）</w:t>
      </w:r>
    </w:p>
    <w:p w14:paraId="72C80726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第九章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向上调侃（幽默推动社会变革）</w:t>
      </w:r>
    </w:p>
    <w:p w14:paraId="13F57C42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第十章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笑中带泪（幽默在悲伤与韧性中的角色）</w:t>
      </w:r>
    </w:p>
    <w:p w14:paraId="0AD5AB8C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第十一章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比没有幽默感更糟糕的事（如何避免劣质玩笑与霸凌）</w:t>
      </w:r>
    </w:p>
    <w:p w14:paraId="5906FB97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F25620A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结语：我遇见的第二幽默的人（充满欢笑的人生是何模样）</w:t>
      </w:r>
    </w:p>
    <w:p w14:paraId="4E32D9E9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18FFF9A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518CF258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注释</w:t>
      </w:r>
    </w:p>
    <w:p w14:paraId="5B1C0CF0">
      <w:pPr>
        <w:tabs>
          <w:tab w:val="left" w:pos="641"/>
        </w:tabs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534297C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0175D7C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D041640"/>
    <w:rsid w:val="4E842F72"/>
    <w:rsid w:val="53786725"/>
    <w:rsid w:val="5B1B417E"/>
    <w:rsid w:val="5CE134BD"/>
    <w:rsid w:val="607974F3"/>
    <w:rsid w:val="60B3492E"/>
    <w:rsid w:val="68EE2E29"/>
    <w:rsid w:val="6AEB37C3"/>
    <w:rsid w:val="6B2023FA"/>
    <w:rsid w:val="6D4E22E0"/>
    <w:rsid w:val="6E3303D4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1325</Words>
  <Characters>1700</Characters>
  <Lines>25</Lines>
  <Paragraphs>7</Paragraphs>
  <TotalTime>5</TotalTime>
  <ScaleCrop>false</ScaleCrop>
  <LinksUpToDate>false</LinksUpToDate>
  <CharactersWithSpaces>1746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2025-10-10T02:00:38Z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