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39FF4E4E" w:rsidR="00AE574A" w:rsidRDefault="00AE574A">
      <w:pPr>
        <w:rPr>
          <w:b/>
          <w:color w:val="000000"/>
          <w:szCs w:val="21"/>
        </w:rPr>
      </w:pPr>
    </w:p>
    <w:p w14:paraId="3DA7336F" w14:textId="25875936" w:rsidR="00774233" w:rsidRPr="00774233" w:rsidRDefault="00F55325"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4FBCFE64" wp14:editId="7D0BAE1C">
            <wp:simplePos x="0" y="0"/>
            <wp:positionH relativeFrom="margin">
              <wp:posOffset>4139565</wp:posOffset>
            </wp:positionH>
            <wp:positionV relativeFrom="paragraph">
              <wp:posOffset>8255</wp:posOffset>
            </wp:positionV>
            <wp:extent cx="1254760" cy="1882140"/>
            <wp:effectExtent l="0" t="0" r="2540" b="3810"/>
            <wp:wrapSquare wrapText="bothSides"/>
            <wp:docPr id="4" name="图片 4" descr="Believing Ancien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ieving Ancient Wom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76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D45FAB" w:rsidRPr="00D45FAB">
        <w:rPr>
          <w:rFonts w:hint="eastAsia"/>
          <w:b/>
          <w:bCs/>
          <w:color w:val="000000"/>
          <w:szCs w:val="21"/>
        </w:rPr>
        <w:t>相信古代女性：希腊与罗马的女性主义认识论</w:t>
      </w:r>
      <w:r w:rsidR="009736A9">
        <w:rPr>
          <w:rFonts w:hint="eastAsia"/>
          <w:b/>
          <w:bCs/>
          <w:color w:val="000000"/>
          <w:szCs w:val="21"/>
        </w:rPr>
        <w:t>》</w:t>
      </w:r>
    </w:p>
    <w:p w14:paraId="526CF9CC" w14:textId="59CDFCB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C37F2" w:rsidRPr="00FC37F2">
        <w:rPr>
          <w:b/>
          <w:bCs/>
          <w:color w:val="000000"/>
          <w:szCs w:val="21"/>
        </w:rPr>
        <w:t>BELIEVING ANCIENT WOMEN: Feminist Epistemologies for Greece and Rome</w:t>
      </w:r>
    </w:p>
    <w:p w14:paraId="39B7E419" w14:textId="247AB5F9" w:rsidR="00774233" w:rsidRPr="00774233" w:rsidRDefault="00774233" w:rsidP="00D45FAB">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D45FAB" w:rsidRPr="00D45FAB">
        <w:rPr>
          <w:b/>
          <w:bCs/>
          <w:color w:val="000000"/>
          <w:szCs w:val="21"/>
        </w:rPr>
        <w:t>Megan E. Bowen, Mary H. Gilbert and</w:t>
      </w:r>
      <w:r w:rsidR="00D45FAB">
        <w:rPr>
          <w:b/>
          <w:bCs/>
          <w:color w:val="000000"/>
          <w:szCs w:val="21"/>
        </w:rPr>
        <w:t xml:space="preserve"> </w:t>
      </w:r>
      <w:r w:rsidR="00D45FAB" w:rsidRPr="00D45FAB">
        <w:rPr>
          <w:b/>
          <w:bCs/>
          <w:color w:val="000000"/>
          <w:szCs w:val="21"/>
        </w:rPr>
        <w:t xml:space="preserve">Edith G. </w:t>
      </w:r>
      <w:proofErr w:type="spellStart"/>
      <w:r w:rsidR="00D45FAB" w:rsidRPr="00D45FAB">
        <w:rPr>
          <w:b/>
          <w:bCs/>
          <w:color w:val="000000"/>
          <w:szCs w:val="21"/>
        </w:rPr>
        <w:t>Nally</w:t>
      </w:r>
      <w:proofErr w:type="spellEnd"/>
      <w:r w:rsidR="00D45FAB" w:rsidRPr="00D45FAB">
        <w:rPr>
          <w:b/>
          <w:bCs/>
          <w:color w:val="000000"/>
          <w:szCs w:val="21"/>
        </w:rPr>
        <w:t xml:space="preserve"> </w:t>
      </w:r>
      <w:hyperlink r:id="rId9" w:history="1"/>
    </w:p>
    <w:p w14:paraId="5EB65684" w14:textId="49E4EEF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D45FAB" w:rsidRPr="00D45FAB">
        <w:rPr>
          <w:b/>
          <w:bCs/>
          <w:color w:val="000000"/>
          <w:szCs w:val="21"/>
        </w:rPr>
        <w:t>Edinburgh University Press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087F2C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45FAB" w:rsidRPr="00D45FAB">
        <w:rPr>
          <w:b/>
          <w:bCs/>
          <w:color w:val="000000"/>
          <w:szCs w:val="21"/>
        </w:rPr>
        <w:t>344</w:t>
      </w:r>
      <w:r w:rsidR="00A60347">
        <w:rPr>
          <w:rFonts w:hint="eastAsia"/>
          <w:b/>
          <w:bCs/>
          <w:color w:val="000000"/>
          <w:szCs w:val="21"/>
        </w:rPr>
        <w:t>页</w:t>
      </w:r>
    </w:p>
    <w:p w14:paraId="31380F95" w14:textId="3FEA102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D45FAB">
        <w:rPr>
          <w:b/>
          <w:bCs/>
          <w:color w:val="000000"/>
          <w:szCs w:val="21"/>
        </w:rPr>
        <w:t>5</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4803FF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45FAB">
        <w:rPr>
          <w:rFonts w:hint="eastAsia"/>
          <w:b/>
          <w:bCs/>
          <w:szCs w:val="21"/>
        </w:rPr>
        <w:t>历史</w:t>
      </w:r>
    </w:p>
    <w:p w14:paraId="56EABACE" w14:textId="4669C6DB" w:rsidR="006039F8" w:rsidRPr="006039F8" w:rsidRDefault="006039F8" w:rsidP="00433082">
      <w:pPr>
        <w:tabs>
          <w:tab w:val="left" w:pos="341"/>
          <w:tab w:val="left" w:pos="5235"/>
        </w:tabs>
        <w:rPr>
          <w:b/>
          <w:bCs/>
          <w:color w:val="FF0000"/>
          <w:szCs w:val="21"/>
        </w:rPr>
      </w:pPr>
      <w:r w:rsidRPr="006039F8">
        <w:rPr>
          <w:b/>
          <w:bCs/>
          <w:color w:val="FF0000"/>
          <w:szCs w:val="21"/>
        </w:rPr>
        <w:t>亚马逊畅销书排名：</w:t>
      </w:r>
    </w:p>
    <w:p w14:paraId="7C4C1BE8" w14:textId="77777777" w:rsidR="006039F8" w:rsidRPr="006039F8" w:rsidRDefault="006039F8" w:rsidP="006039F8">
      <w:pPr>
        <w:tabs>
          <w:tab w:val="left" w:pos="341"/>
          <w:tab w:val="left" w:pos="5235"/>
        </w:tabs>
        <w:rPr>
          <w:b/>
          <w:bCs/>
          <w:color w:val="FF0000"/>
          <w:szCs w:val="21"/>
        </w:rPr>
      </w:pPr>
      <w:r w:rsidRPr="006039F8">
        <w:rPr>
          <w:b/>
          <w:bCs/>
          <w:color w:val="FF0000"/>
          <w:szCs w:val="21"/>
        </w:rPr>
        <w:t>#203 in Epistemology (Books)</w:t>
      </w:r>
    </w:p>
    <w:p w14:paraId="0ED79FC6" w14:textId="77777777" w:rsidR="006039F8" w:rsidRPr="006039F8" w:rsidRDefault="006039F8" w:rsidP="006039F8">
      <w:pPr>
        <w:tabs>
          <w:tab w:val="left" w:pos="341"/>
          <w:tab w:val="left" w:pos="5235"/>
        </w:tabs>
        <w:rPr>
          <w:b/>
          <w:bCs/>
          <w:color w:val="FF0000"/>
          <w:szCs w:val="21"/>
        </w:rPr>
      </w:pPr>
      <w:r w:rsidRPr="006039F8">
        <w:rPr>
          <w:b/>
          <w:bCs/>
          <w:color w:val="FF0000"/>
          <w:szCs w:val="21"/>
        </w:rPr>
        <w:t>#439 in Gender Studies (Books)</w:t>
      </w:r>
    </w:p>
    <w:p w14:paraId="62FEA310" w14:textId="01193897" w:rsidR="006039F8" w:rsidRPr="006039F8" w:rsidRDefault="006039F8" w:rsidP="006039F8">
      <w:pPr>
        <w:tabs>
          <w:tab w:val="left" w:pos="341"/>
          <w:tab w:val="left" w:pos="5235"/>
        </w:tabs>
        <w:rPr>
          <w:rFonts w:hint="eastAsia"/>
          <w:b/>
          <w:bCs/>
          <w:color w:val="FF0000"/>
          <w:szCs w:val="21"/>
        </w:rPr>
      </w:pPr>
      <w:r w:rsidRPr="006039F8">
        <w:rPr>
          <w:b/>
          <w:bCs/>
          <w:color w:val="FF0000"/>
          <w:szCs w:val="21"/>
        </w:rPr>
        <w:t>#566 in Ancient History (Books)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5D64E3F" w14:textId="0383F420" w:rsidR="00F55325" w:rsidRPr="00F55325" w:rsidRDefault="00F55325" w:rsidP="00F55325">
      <w:pPr>
        <w:ind w:firstLineChars="200" w:firstLine="422"/>
        <w:rPr>
          <w:b/>
          <w:bCs/>
          <w:color w:val="000000"/>
          <w:szCs w:val="21"/>
        </w:rPr>
      </w:pPr>
      <w:r w:rsidRPr="00F55325">
        <w:rPr>
          <w:rFonts w:hint="eastAsia"/>
          <w:b/>
          <w:bCs/>
          <w:color w:val="000000"/>
          <w:szCs w:val="21"/>
        </w:rPr>
        <w:t>以近期关于女性主义认识论的哲学研究成果为阐释视角</w:t>
      </w:r>
    </w:p>
    <w:p w14:paraId="78390EDE" w14:textId="77777777" w:rsidR="00F55325" w:rsidRDefault="00F55325" w:rsidP="00F55325">
      <w:pPr>
        <w:ind w:firstLineChars="200" w:firstLine="420"/>
        <w:rPr>
          <w:bCs/>
          <w:color w:val="000000"/>
          <w:szCs w:val="21"/>
        </w:rPr>
      </w:pPr>
    </w:p>
    <w:p w14:paraId="4984AC1D" w14:textId="77777777" w:rsidR="00F55325" w:rsidRPr="00F55325" w:rsidRDefault="00F55325" w:rsidP="00F55325">
      <w:pPr>
        <w:pStyle w:val="ac"/>
        <w:numPr>
          <w:ilvl w:val="0"/>
          <w:numId w:val="38"/>
        </w:numPr>
        <w:ind w:firstLineChars="0"/>
        <w:rPr>
          <w:bCs/>
          <w:color w:val="000000"/>
          <w:szCs w:val="21"/>
        </w:rPr>
      </w:pPr>
      <w:r w:rsidRPr="00F55325">
        <w:rPr>
          <w:rFonts w:hint="eastAsia"/>
          <w:bCs/>
          <w:color w:val="000000"/>
          <w:szCs w:val="21"/>
        </w:rPr>
        <w:t>发展近期女性主义认识论观点，将其作为解读古典文献的文学批判理论</w:t>
      </w:r>
    </w:p>
    <w:p w14:paraId="01CBBD97" w14:textId="79B4E1B3" w:rsidR="00F55325" w:rsidRPr="00F55325" w:rsidRDefault="00F55325" w:rsidP="00F55325">
      <w:pPr>
        <w:pStyle w:val="ac"/>
        <w:numPr>
          <w:ilvl w:val="0"/>
          <w:numId w:val="38"/>
        </w:numPr>
        <w:ind w:firstLineChars="0"/>
        <w:rPr>
          <w:bCs/>
          <w:color w:val="000000"/>
          <w:szCs w:val="21"/>
        </w:rPr>
      </w:pPr>
      <w:r w:rsidRPr="00F55325">
        <w:rPr>
          <w:rFonts w:hint="eastAsia"/>
          <w:bCs/>
          <w:color w:val="000000"/>
          <w:szCs w:val="21"/>
        </w:rPr>
        <w:t>探究在古希腊罗马时期，身份认同如何与认知概念（如知识、信仰、理性、客观性、证词、证据）相互构建</w:t>
      </w:r>
    </w:p>
    <w:p w14:paraId="0034F04C" w14:textId="33A60AA0" w:rsidR="00F55325" w:rsidRPr="00F55325" w:rsidRDefault="00F55325" w:rsidP="00F55325">
      <w:pPr>
        <w:pStyle w:val="ac"/>
        <w:numPr>
          <w:ilvl w:val="0"/>
          <w:numId w:val="38"/>
        </w:numPr>
        <w:ind w:firstLineChars="0"/>
        <w:rPr>
          <w:bCs/>
          <w:color w:val="000000"/>
          <w:szCs w:val="21"/>
        </w:rPr>
      </w:pPr>
      <w:r w:rsidRPr="00F55325">
        <w:rPr>
          <w:rFonts w:hint="eastAsia"/>
          <w:bCs/>
          <w:color w:val="000000"/>
          <w:szCs w:val="21"/>
        </w:rPr>
        <w:t>有助于重新解读并挖掘古典文献及其阐释中那些未得到充分展现的声音和观点</w:t>
      </w:r>
    </w:p>
    <w:p w14:paraId="03F266FB" w14:textId="77777777" w:rsidR="00F55325" w:rsidRDefault="00F55325" w:rsidP="00F55325">
      <w:pPr>
        <w:ind w:firstLineChars="200" w:firstLine="420"/>
        <w:rPr>
          <w:bCs/>
          <w:color w:val="000000"/>
          <w:szCs w:val="21"/>
        </w:rPr>
      </w:pPr>
    </w:p>
    <w:p w14:paraId="56A6D2FA" w14:textId="3F9C9B2C" w:rsidR="00D82AB4" w:rsidRDefault="00F55325" w:rsidP="00F55325">
      <w:pPr>
        <w:ind w:firstLineChars="200" w:firstLine="420"/>
        <w:rPr>
          <w:bCs/>
          <w:color w:val="000000"/>
          <w:szCs w:val="21"/>
        </w:rPr>
      </w:pPr>
      <w:r w:rsidRPr="00F55325">
        <w:rPr>
          <w:rFonts w:hint="eastAsia"/>
          <w:bCs/>
          <w:color w:val="000000"/>
          <w:szCs w:val="21"/>
        </w:rPr>
        <w:t>本书运用近期女性主义认识论框架，分析古希腊和罗马时期如何构建知识、权威、理性、客观性和证词等概念。</w:t>
      </w:r>
      <w:r>
        <w:rPr>
          <w:rFonts w:hint="eastAsia"/>
          <w:bCs/>
          <w:color w:val="000000"/>
          <w:szCs w:val="21"/>
        </w:rPr>
        <w:t>引言</w:t>
      </w:r>
      <w:r w:rsidRPr="00F55325">
        <w:rPr>
          <w:rFonts w:hint="eastAsia"/>
          <w:bCs/>
          <w:color w:val="000000"/>
          <w:szCs w:val="21"/>
        </w:rPr>
        <w:t>部分为女性主义认识论对古典文献的解读提供了理论指南，随后的十六章涵盖从希腊诗歌、悲剧、哲学、修辞学到历史学以及物质文化，再到罗马喜剧、史诗、修辞学、书信、法律及其传承情况的多种体裁和时期。这些文章采用交叉研究方法，揭示了认知体系是如何将古代女性及其他受压迫群体的经历排除在外并加以病态化处理的，这些贡献有助于挖掘非主流叙事，并揭示古代和现代</w:t>
      </w:r>
      <w:r>
        <w:rPr>
          <w:rFonts w:hint="eastAsia"/>
          <w:bCs/>
          <w:color w:val="000000"/>
          <w:szCs w:val="21"/>
        </w:rPr>
        <w:t>社会</w:t>
      </w:r>
      <w:r w:rsidRPr="00F55325">
        <w:rPr>
          <w:rFonts w:hint="eastAsia"/>
          <w:bCs/>
          <w:color w:val="000000"/>
          <w:szCs w:val="21"/>
        </w:rPr>
        <w:t>中的性别、种族、民族、年龄、阶级、家庭地位和公民身份等问题。本书推动了对古典时代更具包容性和平等性的研究，并建立起</w:t>
      </w:r>
      <w:proofErr w:type="gramStart"/>
      <w:r w:rsidRPr="00F55325">
        <w:rPr>
          <w:rFonts w:hint="eastAsia"/>
          <w:bCs/>
          <w:color w:val="000000"/>
          <w:szCs w:val="21"/>
        </w:rPr>
        <w:t>跨历史</w:t>
      </w:r>
      <w:proofErr w:type="gramEnd"/>
      <w:r w:rsidRPr="00F55325">
        <w:rPr>
          <w:rFonts w:hint="eastAsia"/>
          <w:bCs/>
          <w:color w:val="000000"/>
          <w:szCs w:val="21"/>
        </w:rPr>
        <w:t>的联系，使我们能够洞察当今时代类似的不公现象。</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0681C292" w14:textId="63E118CB" w:rsidR="00F55325" w:rsidRPr="00F55325" w:rsidRDefault="00F55325" w:rsidP="00F55325">
      <w:pPr>
        <w:ind w:firstLineChars="200" w:firstLine="422"/>
        <w:rPr>
          <w:bCs/>
          <w:color w:val="000000"/>
          <w:szCs w:val="21"/>
        </w:rPr>
      </w:pPr>
      <w:r w:rsidRPr="00F55325">
        <w:rPr>
          <w:rFonts w:hint="eastAsia"/>
          <w:b/>
          <w:bCs/>
          <w:color w:val="000000"/>
          <w:szCs w:val="21"/>
        </w:rPr>
        <w:t>梅根·埃琳娜·鲍文</w:t>
      </w:r>
      <w:r>
        <w:rPr>
          <w:rFonts w:hint="eastAsia"/>
          <w:b/>
          <w:bCs/>
          <w:color w:val="000000"/>
          <w:szCs w:val="21"/>
        </w:rPr>
        <w:t>（</w:t>
      </w:r>
      <w:r w:rsidRPr="00F55325">
        <w:rPr>
          <w:b/>
          <w:bCs/>
          <w:color w:val="000000"/>
          <w:szCs w:val="21"/>
        </w:rPr>
        <w:t>Megan Elena Bowen</w:t>
      </w:r>
      <w:r>
        <w:rPr>
          <w:rFonts w:hint="eastAsia"/>
          <w:b/>
          <w:bCs/>
          <w:color w:val="000000"/>
          <w:szCs w:val="21"/>
        </w:rPr>
        <w:t>）</w:t>
      </w:r>
      <w:r w:rsidRPr="00F55325">
        <w:rPr>
          <w:rFonts w:hint="eastAsia"/>
          <w:bCs/>
          <w:color w:val="000000"/>
          <w:szCs w:val="21"/>
        </w:rPr>
        <w:t>于</w:t>
      </w:r>
      <w:r w:rsidRPr="00F55325">
        <w:rPr>
          <w:rFonts w:hint="eastAsia"/>
          <w:bCs/>
          <w:color w:val="000000"/>
          <w:szCs w:val="21"/>
        </w:rPr>
        <w:t>2018</w:t>
      </w:r>
      <w:r w:rsidRPr="00F55325">
        <w:rPr>
          <w:rFonts w:hint="eastAsia"/>
          <w:bCs/>
          <w:color w:val="000000"/>
          <w:szCs w:val="21"/>
        </w:rPr>
        <w:t>年在弗吉尼亚大学获得古典学博士学位。她</w:t>
      </w:r>
      <w:r w:rsidR="006221BC" w:rsidRPr="006221BC">
        <w:rPr>
          <w:rFonts w:hint="eastAsia"/>
          <w:bCs/>
          <w:color w:val="000000"/>
          <w:szCs w:val="21"/>
        </w:rPr>
        <w:t>专攻</w:t>
      </w:r>
      <w:r w:rsidR="006221BC">
        <w:rPr>
          <w:rFonts w:hint="eastAsia"/>
          <w:bCs/>
          <w:color w:val="000000"/>
          <w:szCs w:val="21"/>
        </w:rPr>
        <w:t>罗马文学与文化</w:t>
      </w:r>
      <w:r w:rsidRPr="00F55325">
        <w:rPr>
          <w:rFonts w:hint="eastAsia"/>
          <w:bCs/>
          <w:color w:val="000000"/>
          <w:szCs w:val="21"/>
        </w:rPr>
        <w:t>，曾发表过关于奥维德《变形记》中祈祷与性暴力的研究论文。她尤其关注古代文本及其传承中与性别和权力相关的问题。</w:t>
      </w:r>
    </w:p>
    <w:p w14:paraId="3B121FE6" w14:textId="77777777" w:rsidR="00F55325" w:rsidRPr="00F55325" w:rsidRDefault="00F55325" w:rsidP="00F55325">
      <w:pPr>
        <w:ind w:firstLineChars="200" w:firstLine="422"/>
        <w:rPr>
          <w:b/>
          <w:bCs/>
          <w:color w:val="000000"/>
          <w:szCs w:val="21"/>
        </w:rPr>
      </w:pPr>
    </w:p>
    <w:p w14:paraId="415E919F" w14:textId="20CAF23E" w:rsidR="00F55325" w:rsidRPr="006221BC" w:rsidRDefault="00F55325" w:rsidP="00F55325">
      <w:pPr>
        <w:ind w:firstLineChars="200" w:firstLine="422"/>
        <w:rPr>
          <w:bCs/>
          <w:color w:val="000000"/>
          <w:szCs w:val="21"/>
        </w:rPr>
      </w:pPr>
      <w:r w:rsidRPr="00F55325">
        <w:rPr>
          <w:rFonts w:hint="eastAsia"/>
          <w:b/>
          <w:bCs/>
          <w:color w:val="000000"/>
          <w:szCs w:val="21"/>
        </w:rPr>
        <w:t>玛丽·哈米尔·吉尔伯特</w:t>
      </w:r>
      <w:r w:rsidR="006221BC">
        <w:rPr>
          <w:rFonts w:hint="eastAsia"/>
          <w:b/>
          <w:bCs/>
          <w:color w:val="000000"/>
          <w:szCs w:val="21"/>
        </w:rPr>
        <w:t>（</w:t>
      </w:r>
      <w:r w:rsidR="006221BC" w:rsidRPr="006221BC">
        <w:rPr>
          <w:b/>
          <w:bCs/>
          <w:color w:val="000000"/>
          <w:szCs w:val="21"/>
        </w:rPr>
        <w:t xml:space="preserve">Mary </w:t>
      </w:r>
      <w:proofErr w:type="spellStart"/>
      <w:r w:rsidR="006221BC" w:rsidRPr="006221BC">
        <w:rPr>
          <w:b/>
          <w:bCs/>
          <w:color w:val="000000"/>
          <w:szCs w:val="21"/>
        </w:rPr>
        <w:t>Hamil</w:t>
      </w:r>
      <w:proofErr w:type="spellEnd"/>
      <w:r w:rsidR="006221BC" w:rsidRPr="006221BC">
        <w:rPr>
          <w:b/>
          <w:bCs/>
          <w:color w:val="000000"/>
          <w:szCs w:val="21"/>
        </w:rPr>
        <w:t xml:space="preserve"> Gilbert</w:t>
      </w:r>
      <w:r w:rsidR="006221BC">
        <w:rPr>
          <w:rFonts w:hint="eastAsia"/>
          <w:b/>
          <w:bCs/>
          <w:color w:val="000000"/>
          <w:szCs w:val="21"/>
        </w:rPr>
        <w:t>）</w:t>
      </w:r>
      <w:r w:rsidRPr="006221BC">
        <w:rPr>
          <w:rFonts w:hint="eastAsia"/>
          <w:bCs/>
          <w:color w:val="000000"/>
          <w:szCs w:val="21"/>
        </w:rPr>
        <w:t>是密西西比州立大学古典学助理教授。她的研究重点是希腊和罗马戏剧、早期现代法国对古典作品的接受，以及</w:t>
      </w:r>
      <w:r w:rsidR="006221BC">
        <w:rPr>
          <w:rFonts w:hint="eastAsia"/>
          <w:bCs/>
          <w:color w:val="000000"/>
          <w:szCs w:val="21"/>
        </w:rPr>
        <w:t>女性</w:t>
      </w:r>
      <w:r w:rsidRPr="006221BC">
        <w:rPr>
          <w:rFonts w:hint="eastAsia"/>
          <w:bCs/>
          <w:color w:val="000000"/>
          <w:szCs w:val="21"/>
        </w:rPr>
        <w:t>与性别研究。她发表过多篇文章和章节，主题涉及埃斯库罗斯、欧里庇得斯、塞内加，以及早期现代法国剧作家让·拉辛对希腊和罗马戏剧的接受。</w:t>
      </w:r>
    </w:p>
    <w:p w14:paraId="64055D25" w14:textId="77777777" w:rsidR="00F55325" w:rsidRPr="00F55325" w:rsidRDefault="00F55325" w:rsidP="00F55325">
      <w:pPr>
        <w:ind w:firstLineChars="200" w:firstLine="422"/>
        <w:rPr>
          <w:b/>
          <w:bCs/>
          <w:color w:val="000000"/>
          <w:szCs w:val="21"/>
        </w:rPr>
      </w:pPr>
    </w:p>
    <w:p w14:paraId="5F98A770" w14:textId="5F48D8D5" w:rsidR="00110405" w:rsidRDefault="00F55325" w:rsidP="00F55325">
      <w:pPr>
        <w:ind w:firstLineChars="200" w:firstLine="422"/>
        <w:rPr>
          <w:bCs/>
          <w:color w:val="000000"/>
          <w:szCs w:val="21"/>
        </w:rPr>
      </w:pPr>
      <w:r w:rsidRPr="00F55325">
        <w:rPr>
          <w:rFonts w:hint="eastAsia"/>
          <w:b/>
          <w:bCs/>
          <w:color w:val="000000"/>
          <w:szCs w:val="21"/>
        </w:rPr>
        <w:t>伊迪丝·格温多林·纳利</w:t>
      </w:r>
      <w:r w:rsidR="006221BC">
        <w:rPr>
          <w:rFonts w:hint="eastAsia"/>
          <w:b/>
          <w:bCs/>
          <w:color w:val="000000"/>
          <w:szCs w:val="21"/>
        </w:rPr>
        <w:t>（</w:t>
      </w:r>
      <w:r w:rsidR="006221BC" w:rsidRPr="006221BC">
        <w:rPr>
          <w:b/>
          <w:bCs/>
          <w:color w:val="000000"/>
          <w:szCs w:val="21"/>
        </w:rPr>
        <w:t xml:space="preserve">Edith Gwendolyn </w:t>
      </w:r>
      <w:proofErr w:type="spellStart"/>
      <w:r w:rsidR="006221BC" w:rsidRPr="006221BC">
        <w:rPr>
          <w:b/>
          <w:bCs/>
          <w:color w:val="000000"/>
          <w:szCs w:val="21"/>
        </w:rPr>
        <w:t>Nally</w:t>
      </w:r>
      <w:proofErr w:type="spellEnd"/>
      <w:r w:rsidR="006221BC">
        <w:rPr>
          <w:rFonts w:hint="eastAsia"/>
          <w:b/>
          <w:bCs/>
          <w:color w:val="000000"/>
          <w:szCs w:val="21"/>
        </w:rPr>
        <w:t>）</w:t>
      </w:r>
      <w:r w:rsidRPr="006221BC">
        <w:rPr>
          <w:rFonts w:hint="eastAsia"/>
          <w:bCs/>
          <w:color w:val="000000"/>
          <w:szCs w:val="21"/>
        </w:rPr>
        <w:t>是密苏里大学堪萨斯城分校哲学助理教授，同时也是古典学项目以及种族、民族与性别研究系的</w:t>
      </w:r>
      <w:r w:rsidR="006221BC" w:rsidRPr="006221BC">
        <w:rPr>
          <w:rFonts w:hint="eastAsia"/>
          <w:bCs/>
          <w:color w:val="000000"/>
          <w:szCs w:val="21"/>
        </w:rPr>
        <w:t>助理教授</w:t>
      </w:r>
      <w:r w:rsidRPr="006221BC">
        <w:rPr>
          <w:rFonts w:hint="eastAsia"/>
          <w:bCs/>
          <w:color w:val="000000"/>
          <w:szCs w:val="21"/>
        </w:rPr>
        <w:t>。她专长于古希腊哲学、认识论和女性主义哲学，撰写过多篇关于柏拉图哲学的文章和章节。</w:t>
      </w:r>
    </w:p>
    <w:p w14:paraId="08B3490F" w14:textId="77777777" w:rsidR="006221BC" w:rsidRDefault="006221BC" w:rsidP="006221BC">
      <w:pPr>
        <w:rPr>
          <w:bCs/>
          <w:color w:val="000000"/>
          <w:szCs w:val="21"/>
        </w:rPr>
      </w:pPr>
    </w:p>
    <w:p w14:paraId="52FF5091" w14:textId="77777777" w:rsidR="006221BC" w:rsidRDefault="006221BC" w:rsidP="006221BC">
      <w:pPr>
        <w:rPr>
          <w:bCs/>
          <w:color w:val="000000"/>
          <w:szCs w:val="21"/>
        </w:rPr>
      </w:pPr>
    </w:p>
    <w:p w14:paraId="27C2ADBC" w14:textId="17A4BE70" w:rsidR="006221BC" w:rsidRPr="006221BC" w:rsidRDefault="006221BC" w:rsidP="006221BC">
      <w:pPr>
        <w:rPr>
          <w:b/>
          <w:bCs/>
          <w:color w:val="000000"/>
          <w:szCs w:val="21"/>
        </w:rPr>
      </w:pPr>
      <w:r>
        <w:rPr>
          <w:b/>
          <w:bCs/>
          <w:color w:val="000000"/>
          <w:szCs w:val="21"/>
        </w:rPr>
        <w:t>媒体评价：</w:t>
      </w:r>
    </w:p>
    <w:p w14:paraId="61068A95" w14:textId="77777777" w:rsidR="006221BC" w:rsidRDefault="006221BC" w:rsidP="00F55325">
      <w:pPr>
        <w:ind w:firstLineChars="200" w:firstLine="420"/>
        <w:rPr>
          <w:color w:val="000000"/>
          <w:szCs w:val="21"/>
        </w:rPr>
      </w:pPr>
    </w:p>
    <w:p w14:paraId="4C96071D" w14:textId="632DCA1C" w:rsidR="006221BC" w:rsidRPr="006221BC" w:rsidRDefault="006221BC" w:rsidP="006221BC">
      <w:pPr>
        <w:ind w:firstLineChars="200" w:firstLine="420"/>
        <w:rPr>
          <w:color w:val="000000"/>
          <w:szCs w:val="21"/>
        </w:rPr>
      </w:pPr>
      <w:r>
        <w:rPr>
          <w:rFonts w:hint="eastAsia"/>
          <w:color w:val="000000"/>
          <w:szCs w:val="21"/>
        </w:rPr>
        <w:t>“</w:t>
      </w:r>
      <w:r w:rsidRPr="006221BC">
        <w:rPr>
          <w:rFonts w:hint="eastAsia"/>
          <w:color w:val="000000"/>
          <w:szCs w:val="21"/>
        </w:rPr>
        <w:t>这本书聚焦于女性主义认识论，研究方法多样，古典素材丰富，有力地推动了对古代哲学与文学的阐释，同时也展示了对古代世界的探索如何能为当代学术讨论提供助力。</w:t>
      </w:r>
      <w:r>
        <w:rPr>
          <w:rFonts w:hint="eastAsia"/>
          <w:color w:val="000000"/>
          <w:szCs w:val="21"/>
        </w:rPr>
        <w:t>”</w:t>
      </w:r>
    </w:p>
    <w:p w14:paraId="1A38CF02" w14:textId="498FA7C4" w:rsidR="006221BC" w:rsidRPr="006221BC" w:rsidRDefault="006221BC" w:rsidP="006221BC">
      <w:pPr>
        <w:ind w:firstLineChars="200" w:firstLine="420"/>
        <w:jc w:val="right"/>
        <w:rPr>
          <w:color w:val="000000"/>
          <w:szCs w:val="21"/>
        </w:rPr>
      </w:pPr>
      <w:r w:rsidRPr="006221BC">
        <w:rPr>
          <w:rFonts w:hint="eastAsia"/>
          <w:color w:val="000000"/>
          <w:szCs w:val="21"/>
        </w:rPr>
        <w:t>——艾莉森·沙罗克</w:t>
      </w:r>
      <w:r>
        <w:rPr>
          <w:rFonts w:hint="eastAsia"/>
          <w:color w:val="000000"/>
          <w:szCs w:val="21"/>
        </w:rPr>
        <w:t>（</w:t>
      </w:r>
      <w:r w:rsidRPr="006221BC">
        <w:rPr>
          <w:color w:val="000000"/>
          <w:szCs w:val="21"/>
        </w:rPr>
        <w:t>Alison Sharrock</w:t>
      </w:r>
      <w:r>
        <w:rPr>
          <w:rFonts w:hint="eastAsia"/>
          <w:color w:val="000000"/>
          <w:szCs w:val="21"/>
        </w:rPr>
        <w:t>）</w:t>
      </w:r>
      <w:r w:rsidRPr="006221BC">
        <w:rPr>
          <w:rFonts w:hint="eastAsia"/>
          <w:color w:val="000000"/>
          <w:szCs w:val="21"/>
        </w:rPr>
        <w:t>，曼彻斯特大学</w:t>
      </w:r>
    </w:p>
    <w:p w14:paraId="106A4603" w14:textId="77777777" w:rsidR="006221BC" w:rsidRPr="006221BC" w:rsidRDefault="006221BC" w:rsidP="006221BC">
      <w:pPr>
        <w:ind w:firstLineChars="200" w:firstLine="420"/>
        <w:rPr>
          <w:color w:val="000000"/>
          <w:szCs w:val="21"/>
        </w:rPr>
      </w:pPr>
    </w:p>
    <w:p w14:paraId="580CA31A" w14:textId="69FE6778" w:rsidR="006221BC" w:rsidRPr="006221BC" w:rsidRDefault="006221BC" w:rsidP="006221BC">
      <w:pPr>
        <w:ind w:firstLineChars="200" w:firstLine="420"/>
        <w:rPr>
          <w:color w:val="000000"/>
          <w:szCs w:val="21"/>
        </w:rPr>
      </w:pPr>
      <w:r>
        <w:rPr>
          <w:rFonts w:hint="eastAsia"/>
          <w:color w:val="000000"/>
          <w:szCs w:val="21"/>
        </w:rPr>
        <w:t>“</w:t>
      </w:r>
      <w:r w:rsidRPr="006221BC">
        <w:rPr>
          <w:rFonts w:hint="eastAsia"/>
          <w:color w:val="000000"/>
          <w:szCs w:val="21"/>
        </w:rPr>
        <w:t>本书编者与作者精心打造了一场思想盛宴。这</w:t>
      </w:r>
      <w:proofErr w:type="gramStart"/>
      <w:r w:rsidRPr="006221BC">
        <w:rPr>
          <w:rFonts w:hint="eastAsia"/>
          <w:color w:val="000000"/>
          <w:szCs w:val="21"/>
        </w:rPr>
        <w:t>部著</w:t>
      </w:r>
      <w:proofErr w:type="gramEnd"/>
      <w:r w:rsidRPr="006221BC">
        <w:rPr>
          <w:rFonts w:hint="eastAsia"/>
          <w:color w:val="000000"/>
          <w:szCs w:val="21"/>
        </w:rPr>
        <w:t>作生动有趣、发人深省，探讨的话题广泛，参与的学者众多。从初入学界的新人到该领域经验最为丰富的前辈，都在书中有所呈现。本书彰显了女性主义研究方法对于古典学研究持续的重要意义与影响力。</w:t>
      </w:r>
      <w:r>
        <w:rPr>
          <w:rFonts w:hint="eastAsia"/>
          <w:color w:val="000000"/>
          <w:szCs w:val="21"/>
        </w:rPr>
        <w:t>”</w:t>
      </w:r>
    </w:p>
    <w:p w14:paraId="262A7C78" w14:textId="3D7545B3" w:rsidR="006221BC" w:rsidRPr="006221BC" w:rsidRDefault="006221BC" w:rsidP="006221BC">
      <w:pPr>
        <w:ind w:firstLineChars="200" w:firstLine="420"/>
        <w:jc w:val="right"/>
        <w:rPr>
          <w:color w:val="000000"/>
          <w:szCs w:val="21"/>
        </w:rPr>
      </w:pPr>
      <w:r w:rsidRPr="006221BC">
        <w:rPr>
          <w:rFonts w:hint="eastAsia"/>
          <w:color w:val="000000"/>
          <w:szCs w:val="21"/>
        </w:rPr>
        <w:t>——丽贝卡·富托·肯尼迪</w:t>
      </w:r>
      <w:r>
        <w:rPr>
          <w:rFonts w:hint="eastAsia"/>
          <w:color w:val="000000"/>
          <w:szCs w:val="21"/>
        </w:rPr>
        <w:t>（</w:t>
      </w:r>
      <w:r w:rsidRPr="006221BC">
        <w:rPr>
          <w:color w:val="000000"/>
          <w:szCs w:val="21"/>
        </w:rPr>
        <w:t xml:space="preserve">Rebecca </w:t>
      </w:r>
      <w:proofErr w:type="spellStart"/>
      <w:r w:rsidRPr="006221BC">
        <w:rPr>
          <w:color w:val="000000"/>
          <w:szCs w:val="21"/>
        </w:rPr>
        <w:t>Futo</w:t>
      </w:r>
      <w:proofErr w:type="spellEnd"/>
      <w:r w:rsidRPr="006221BC">
        <w:rPr>
          <w:color w:val="000000"/>
          <w:szCs w:val="21"/>
        </w:rPr>
        <w:t xml:space="preserve"> Kennedy</w:t>
      </w:r>
      <w:r>
        <w:rPr>
          <w:rFonts w:hint="eastAsia"/>
          <w:color w:val="000000"/>
          <w:szCs w:val="21"/>
        </w:rPr>
        <w:t>）</w:t>
      </w:r>
      <w:r w:rsidRPr="006221BC">
        <w:rPr>
          <w:rFonts w:hint="eastAsia"/>
          <w:color w:val="000000"/>
          <w:szCs w:val="21"/>
        </w:rPr>
        <w:t>，丹尼森大学</w:t>
      </w:r>
    </w:p>
    <w:p w14:paraId="7E5C6294" w14:textId="77777777" w:rsidR="00A5385A" w:rsidRDefault="00A5385A" w:rsidP="00A5385A">
      <w:pPr>
        <w:rPr>
          <w:bCs/>
          <w:color w:val="000000"/>
          <w:szCs w:val="21"/>
        </w:rPr>
      </w:pPr>
    </w:p>
    <w:p w14:paraId="56FFC8E1" w14:textId="77777777" w:rsidR="006221BC" w:rsidRDefault="006221BC" w:rsidP="00A5385A">
      <w:pPr>
        <w:rPr>
          <w:bCs/>
          <w:color w:val="000000"/>
          <w:szCs w:val="21"/>
        </w:rPr>
      </w:pPr>
    </w:p>
    <w:p w14:paraId="034857EF" w14:textId="77777777" w:rsidR="006221BC" w:rsidRPr="00187DB0" w:rsidRDefault="006221BC" w:rsidP="00187DB0">
      <w:pPr>
        <w:tabs>
          <w:tab w:val="left" w:pos="341"/>
          <w:tab w:val="left" w:pos="5235"/>
        </w:tabs>
        <w:jc w:val="center"/>
        <w:rPr>
          <w:b/>
          <w:bCs/>
          <w:color w:val="000000"/>
          <w:sz w:val="30"/>
          <w:szCs w:val="30"/>
        </w:rPr>
      </w:pPr>
      <w:r w:rsidRPr="00187DB0">
        <w:rPr>
          <w:rFonts w:hint="eastAsia"/>
          <w:b/>
          <w:bCs/>
          <w:color w:val="000000"/>
          <w:sz w:val="30"/>
          <w:szCs w:val="30"/>
        </w:rPr>
        <w:t>《相信古代女性：希腊与罗马的女性主义认识论》</w:t>
      </w:r>
    </w:p>
    <w:p w14:paraId="496D5AFC" w14:textId="77777777" w:rsidR="006221BC" w:rsidRPr="006221BC" w:rsidRDefault="006221BC" w:rsidP="00187DB0">
      <w:pPr>
        <w:jc w:val="center"/>
        <w:rPr>
          <w:bCs/>
          <w:color w:val="000000"/>
          <w:szCs w:val="21"/>
        </w:rPr>
      </w:pPr>
    </w:p>
    <w:p w14:paraId="1D0AE28D" w14:textId="146ADFF8" w:rsidR="006221BC" w:rsidRPr="006221BC" w:rsidRDefault="006221BC" w:rsidP="00187DB0">
      <w:pPr>
        <w:jc w:val="center"/>
        <w:rPr>
          <w:bCs/>
          <w:color w:val="000000"/>
          <w:szCs w:val="21"/>
        </w:rPr>
      </w:pPr>
      <w:r w:rsidRPr="006221BC">
        <w:rPr>
          <w:rFonts w:hint="eastAsia"/>
          <w:bCs/>
          <w:color w:val="000000"/>
          <w:szCs w:val="21"/>
        </w:rPr>
        <w:t>插图列表</w:t>
      </w:r>
    </w:p>
    <w:p w14:paraId="45A1FFEF" w14:textId="77777777" w:rsidR="006221BC" w:rsidRPr="006221BC" w:rsidRDefault="006221BC" w:rsidP="00187DB0">
      <w:pPr>
        <w:jc w:val="center"/>
        <w:rPr>
          <w:bCs/>
          <w:color w:val="000000"/>
          <w:szCs w:val="21"/>
        </w:rPr>
      </w:pPr>
      <w:r w:rsidRPr="006221BC">
        <w:rPr>
          <w:rFonts w:hint="eastAsia"/>
          <w:bCs/>
          <w:color w:val="000000"/>
          <w:szCs w:val="21"/>
        </w:rPr>
        <w:t>致谢</w:t>
      </w:r>
    </w:p>
    <w:p w14:paraId="72E43CF4" w14:textId="1F619E5E" w:rsidR="006221BC" w:rsidRPr="006221BC" w:rsidRDefault="006221BC" w:rsidP="00187DB0">
      <w:pPr>
        <w:jc w:val="center"/>
        <w:rPr>
          <w:bCs/>
          <w:color w:val="000000"/>
          <w:szCs w:val="21"/>
        </w:rPr>
      </w:pPr>
      <w:r w:rsidRPr="006221BC">
        <w:rPr>
          <w:rFonts w:hint="eastAsia"/>
          <w:bCs/>
          <w:color w:val="000000"/>
          <w:szCs w:val="21"/>
        </w:rPr>
        <w:t>撰稿人名单</w:t>
      </w:r>
    </w:p>
    <w:p w14:paraId="39034145" w14:textId="1BE801D1" w:rsidR="006221BC" w:rsidRPr="006221BC" w:rsidRDefault="006221BC" w:rsidP="00187DB0">
      <w:pPr>
        <w:jc w:val="center"/>
        <w:rPr>
          <w:bCs/>
          <w:color w:val="000000"/>
          <w:szCs w:val="21"/>
        </w:rPr>
      </w:pPr>
      <w:r>
        <w:rPr>
          <w:rFonts w:hint="eastAsia"/>
          <w:bCs/>
          <w:color w:val="000000"/>
          <w:szCs w:val="21"/>
        </w:rPr>
        <w:t>1</w:t>
      </w:r>
      <w:r>
        <w:rPr>
          <w:bCs/>
          <w:color w:val="000000"/>
          <w:szCs w:val="21"/>
        </w:rPr>
        <w:t xml:space="preserve">. </w:t>
      </w:r>
      <w:r>
        <w:rPr>
          <w:rFonts w:hint="eastAsia"/>
          <w:bCs/>
          <w:color w:val="000000"/>
          <w:szCs w:val="21"/>
        </w:rPr>
        <w:t>相信古代女性：导论</w:t>
      </w:r>
      <w:r w:rsidRPr="006221BC">
        <w:rPr>
          <w:rFonts w:hint="eastAsia"/>
          <w:bCs/>
          <w:color w:val="000000"/>
          <w:szCs w:val="21"/>
        </w:rPr>
        <w:t>与女性主义认识论指南</w:t>
      </w:r>
    </w:p>
    <w:p w14:paraId="4CEBCBCF" w14:textId="14EFA73F" w:rsidR="006221BC" w:rsidRPr="006221BC" w:rsidRDefault="006221BC" w:rsidP="00187DB0">
      <w:pPr>
        <w:jc w:val="center"/>
        <w:rPr>
          <w:bCs/>
          <w:color w:val="000000"/>
          <w:szCs w:val="21"/>
        </w:rPr>
      </w:pPr>
      <w:r>
        <w:rPr>
          <w:rFonts w:hint="eastAsia"/>
          <w:bCs/>
          <w:color w:val="000000"/>
          <w:szCs w:val="21"/>
        </w:rPr>
        <w:t>2</w:t>
      </w:r>
      <w:r>
        <w:rPr>
          <w:bCs/>
          <w:color w:val="000000"/>
          <w:szCs w:val="21"/>
        </w:rPr>
        <w:t xml:space="preserve">. </w:t>
      </w:r>
      <w:r w:rsidRPr="006221BC">
        <w:rPr>
          <w:rFonts w:hint="eastAsia"/>
          <w:bCs/>
          <w:color w:val="000000"/>
          <w:szCs w:val="21"/>
        </w:rPr>
        <w:t>“因为你知道我们是多么关爱你们”：</w:t>
      </w:r>
      <w:proofErr w:type="gramStart"/>
      <w:r w:rsidRPr="006221BC">
        <w:rPr>
          <w:rFonts w:hint="eastAsia"/>
          <w:bCs/>
          <w:color w:val="000000"/>
          <w:szCs w:val="21"/>
        </w:rPr>
        <w:t>萨</w:t>
      </w:r>
      <w:proofErr w:type="gramEnd"/>
      <w:r w:rsidRPr="006221BC">
        <w:rPr>
          <w:rFonts w:hint="eastAsia"/>
          <w:bCs/>
          <w:color w:val="000000"/>
          <w:szCs w:val="21"/>
        </w:rPr>
        <w:t>福</w:t>
      </w:r>
    </w:p>
    <w:p w14:paraId="0CF69294" w14:textId="5B023E8A" w:rsidR="006221BC" w:rsidRPr="006221BC" w:rsidRDefault="006221BC" w:rsidP="00187DB0">
      <w:pPr>
        <w:jc w:val="center"/>
        <w:rPr>
          <w:bCs/>
          <w:color w:val="000000"/>
          <w:szCs w:val="21"/>
        </w:rPr>
      </w:pPr>
      <w:r>
        <w:rPr>
          <w:rFonts w:hint="eastAsia"/>
          <w:bCs/>
          <w:color w:val="000000"/>
          <w:szCs w:val="21"/>
        </w:rPr>
        <w:t>3</w:t>
      </w:r>
      <w:r>
        <w:rPr>
          <w:bCs/>
          <w:color w:val="000000"/>
          <w:szCs w:val="21"/>
        </w:rPr>
        <w:t xml:space="preserve">. </w:t>
      </w:r>
      <w:r w:rsidRPr="006221BC">
        <w:rPr>
          <w:rFonts w:hint="eastAsia"/>
          <w:bCs/>
          <w:color w:val="000000"/>
          <w:szCs w:val="21"/>
        </w:rPr>
        <w:t>在《被缚的普罗米修斯》中与</w:t>
      </w:r>
      <w:proofErr w:type="gramStart"/>
      <w:r w:rsidRPr="006221BC">
        <w:rPr>
          <w:rFonts w:hint="eastAsia"/>
          <w:bCs/>
          <w:color w:val="000000"/>
          <w:szCs w:val="21"/>
        </w:rPr>
        <w:t>俄刻阿诺</w:t>
      </w:r>
      <w:proofErr w:type="gramEnd"/>
      <w:r w:rsidRPr="006221BC">
        <w:rPr>
          <w:rFonts w:hint="eastAsia"/>
          <w:bCs/>
          <w:color w:val="000000"/>
          <w:szCs w:val="21"/>
        </w:rPr>
        <w:t>斯一同建构知识</w:t>
      </w:r>
    </w:p>
    <w:p w14:paraId="6A61EB17" w14:textId="0D2D569B" w:rsidR="006221BC" w:rsidRPr="006221BC" w:rsidRDefault="006221BC" w:rsidP="00187DB0">
      <w:pPr>
        <w:jc w:val="center"/>
        <w:rPr>
          <w:bCs/>
          <w:color w:val="000000"/>
          <w:szCs w:val="21"/>
        </w:rPr>
      </w:pPr>
      <w:r>
        <w:rPr>
          <w:rFonts w:hint="eastAsia"/>
          <w:bCs/>
          <w:color w:val="000000"/>
          <w:szCs w:val="21"/>
        </w:rPr>
        <w:t>4</w:t>
      </w:r>
      <w:r>
        <w:rPr>
          <w:bCs/>
          <w:color w:val="000000"/>
          <w:szCs w:val="21"/>
        </w:rPr>
        <w:t xml:space="preserve">. </w:t>
      </w:r>
      <w:r w:rsidRPr="006221BC">
        <w:rPr>
          <w:rFonts w:hint="eastAsia"/>
          <w:bCs/>
          <w:color w:val="000000"/>
          <w:szCs w:val="21"/>
        </w:rPr>
        <w:t>雅典女性对暴力的控诉：</w:t>
      </w:r>
      <w:proofErr w:type="gramStart"/>
      <w:r w:rsidRPr="006221BC">
        <w:rPr>
          <w:rFonts w:hint="eastAsia"/>
          <w:bCs/>
          <w:color w:val="000000"/>
          <w:szCs w:val="21"/>
        </w:rPr>
        <w:t>佐比亚</w:t>
      </w:r>
      <w:proofErr w:type="gramEnd"/>
      <w:r w:rsidRPr="006221BC">
        <w:rPr>
          <w:rFonts w:hint="eastAsia"/>
          <w:bCs/>
          <w:color w:val="000000"/>
          <w:szCs w:val="21"/>
        </w:rPr>
        <w:t>和阿里斯托革顿</w:t>
      </w:r>
    </w:p>
    <w:p w14:paraId="4984BB74" w14:textId="7FEF6A19" w:rsidR="006221BC" w:rsidRPr="006221BC" w:rsidRDefault="006221BC" w:rsidP="00187DB0">
      <w:pPr>
        <w:jc w:val="center"/>
        <w:rPr>
          <w:bCs/>
          <w:color w:val="000000"/>
          <w:szCs w:val="21"/>
        </w:rPr>
      </w:pPr>
      <w:r>
        <w:rPr>
          <w:rFonts w:hint="eastAsia"/>
          <w:bCs/>
          <w:color w:val="000000"/>
          <w:szCs w:val="21"/>
        </w:rPr>
        <w:t>5</w:t>
      </w:r>
      <w:r>
        <w:rPr>
          <w:bCs/>
          <w:color w:val="000000"/>
          <w:szCs w:val="21"/>
        </w:rPr>
        <w:t xml:space="preserve">. </w:t>
      </w:r>
      <w:r w:rsidRPr="006221BC">
        <w:rPr>
          <w:rFonts w:hint="eastAsia"/>
          <w:bCs/>
          <w:color w:val="000000"/>
          <w:szCs w:val="21"/>
        </w:rPr>
        <w:t>知识的身体：狄奥提玛在《会饮篇》中的生殖专业知识</w:t>
      </w:r>
    </w:p>
    <w:p w14:paraId="041832C7" w14:textId="4A46F45B" w:rsidR="006221BC" w:rsidRPr="006221BC" w:rsidRDefault="006221BC" w:rsidP="00187DB0">
      <w:pPr>
        <w:jc w:val="center"/>
        <w:rPr>
          <w:bCs/>
          <w:color w:val="000000"/>
          <w:szCs w:val="21"/>
        </w:rPr>
      </w:pPr>
      <w:r>
        <w:rPr>
          <w:rFonts w:hint="eastAsia"/>
          <w:bCs/>
          <w:color w:val="000000"/>
          <w:szCs w:val="21"/>
        </w:rPr>
        <w:t>6</w:t>
      </w:r>
      <w:r>
        <w:rPr>
          <w:bCs/>
          <w:color w:val="000000"/>
          <w:szCs w:val="21"/>
        </w:rPr>
        <w:t xml:space="preserve">. </w:t>
      </w:r>
      <w:r w:rsidRPr="006221BC">
        <w:rPr>
          <w:rFonts w:hint="eastAsia"/>
          <w:bCs/>
          <w:color w:val="000000"/>
          <w:szCs w:val="21"/>
        </w:rPr>
        <w:t>显著的存在与缺失：探寻古典世界中历史女性的物质痕迹</w:t>
      </w:r>
    </w:p>
    <w:p w14:paraId="2F60A368" w14:textId="5A5D6843" w:rsidR="006221BC" w:rsidRPr="006221BC" w:rsidRDefault="006221BC" w:rsidP="00187DB0">
      <w:pPr>
        <w:jc w:val="center"/>
        <w:rPr>
          <w:bCs/>
          <w:color w:val="000000"/>
          <w:szCs w:val="21"/>
        </w:rPr>
      </w:pPr>
      <w:r>
        <w:rPr>
          <w:rFonts w:hint="eastAsia"/>
          <w:bCs/>
          <w:color w:val="000000"/>
          <w:szCs w:val="21"/>
        </w:rPr>
        <w:t>7</w:t>
      </w:r>
      <w:r>
        <w:rPr>
          <w:bCs/>
          <w:color w:val="000000"/>
          <w:szCs w:val="21"/>
        </w:rPr>
        <w:t xml:space="preserve">. </w:t>
      </w:r>
      <w:r w:rsidRPr="006221BC">
        <w:rPr>
          <w:rFonts w:hint="eastAsia"/>
          <w:bCs/>
          <w:color w:val="000000"/>
          <w:szCs w:val="21"/>
        </w:rPr>
        <w:t>普劳图斯的《凶宅》与泰伦提乌斯的《</w:t>
      </w:r>
      <w:r w:rsidR="00187DB0">
        <w:rPr>
          <w:rFonts w:hint="eastAsia"/>
          <w:bCs/>
          <w:color w:val="000000"/>
          <w:szCs w:val="21"/>
        </w:rPr>
        <w:t>婆母</w:t>
      </w:r>
      <w:r w:rsidRPr="006221BC">
        <w:rPr>
          <w:rFonts w:hint="eastAsia"/>
          <w:bCs/>
          <w:color w:val="000000"/>
          <w:szCs w:val="21"/>
        </w:rPr>
        <w:t>》：</w:t>
      </w:r>
      <w:r w:rsidR="00187DB0" w:rsidRPr="00187DB0">
        <w:rPr>
          <w:rFonts w:hint="eastAsia"/>
          <w:bCs/>
          <w:color w:val="000000"/>
          <w:szCs w:val="21"/>
        </w:rPr>
        <w:t>父权权威与女性的可信度</w:t>
      </w:r>
    </w:p>
    <w:p w14:paraId="29699F94" w14:textId="05FFC35C" w:rsidR="006221BC" w:rsidRPr="006221BC" w:rsidRDefault="00187DB0" w:rsidP="00187DB0">
      <w:pPr>
        <w:jc w:val="center"/>
        <w:rPr>
          <w:bCs/>
          <w:color w:val="000000"/>
          <w:szCs w:val="21"/>
        </w:rPr>
      </w:pPr>
      <w:r>
        <w:rPr>
          <w:rFonts w:hint="eastAsia"/>
          <w:bCs/>
          <w:color w:val="000000"/>
          <w:szCs w:val="21"/>
        </w:rPr>
        <w:t>8</w:t>
      </w:r>
      <w:r>
        <w:rPr>
          <w:bCs/>
          <w:color w:val="000000"/>
          <w:szCs w:val="21"/>
        </w:rPr>
        <w:t xml:space="preserve">. </w:t>
      </w:r>
      <w:r w:rsidR="006221BC" w:rsidRPr="006221BC">
        <w:rPr>
          <w:rFonts w:hint="eastAsia"/>
          <w:bCs/>
          <w:color w:val="000000"/>
          <w:szCs w:val="21"/>
        </w:rPr>
        <w:t>西塞罗书信中的</w:t>
      </w:r>
      <w:r w:rsidRPr="00187DB0">
        <w:rPr>
          <w:rFonts w:hint="eastAsia"/>
          <w:bCs/>
          <w:color w:val="000000"/>
          <w:szCs w:val="21"/>
        </w:rPr>
        <w:t>边缘</w:t>
      </w:r>
      <w:r w:rsidR="006221BC" w:rsidRPr="006221BC">
        <w:rPr>
          <w:rFonts w:hint="eastAsia"/>
          <w:bCs/>
          <w:color w:val="000000"/>
          <w:szCs w:val="21"/>
        </w:rPr>
        <w:t>女性</w:t>
      </w:r>
    </w:p>
    <w:p w14:paraId="541BBF97" w14:textId="41FCD86C" w:rsidR="006221BC" w:rsidRPr="006221BC" w:rsidRDefault="00187DB0" w:rsidP="00187DB0">
      <w:pPr>
        <w:jc w:val="center"/>
        <w:rPr>
          <w:bCs/>
          <w:color w:val="000000"/>
          <w:szCs w:val="21"/>
        </w:rPr>
      </w:pPr>
      <w:r>
        <w:rPr>
          <w:bCs/>
          <w:color w:val="000000"/>
          <w:szCs w:val="21"/>
        </w:rPr>
        <w:t xml:space="preserve">9. </w:t>
      </w:r>
      <w:r w:rsidRPr="00187DB0">
        <w:rPr>
          <w:rFonts w:hint="eastAsia"/>
          <w:bCs/>
          <w:color w:val="000000"/>
          <w:szCs w:val="21"/>
        </w:rPr>
        <w:t>意指</w:t>
      </w:r>
      <w:r w:rsidR="006221BC" w:rsidRPr="006221BC">
        <w:rPr>
          <w:rFonts w:hint="eastAsia"/>
          <w:bCs/>
          <w:color w:val="000000"/>
          <w:szCs w:val="21"/>
        </w:rPr>
        <w:t>狄多：奥古斯都罗马的种族和性别构建</w:t>
      </w:r>
    </w:p>
    <w:p w14:paraId="4791E0FE" w14:textId="3788E5ED" w:rsidR="006221BC" w:rsidRPr="006221BC" w:rsidRDefault="00187DB0" w:rsidP="00187DB0">
      <w:pPr>
        <w:jc w:val="center"/>
        <w:rPr>
          <w:bCs/>
          <w:color w:val="000000"/>
          <w:szCs w:val="21"/>
        </w:rPr>
      </w:pPr>
      <w:r>
        <w:rPr>
          <w:bCs/>
          <w:color w:val="000000"/>
          <w:szCs w:val="21"/>
        </w:rPr>
        <w:lastRenderedPageBreak/>
        <w:t xml:space="preserve">10. </w:t>
      </w:r>
      <w:r w:rsidRPr="00187DB0">
        <w:rPr>
          <w:rFonts w:hint="eastAsia"/>
          <w:bCs/>
          <w:color w:val="000000"/>
          <w:szCs w:val="21"/>
        </w:rPr>
        <w:t>但她并未抱怨：奥维德笔下的</w:t>
      </w:r>
      <w:proofErr w:type="gramStart"/>
      <w:r w:rsidRPr="00187DB0">
        <w:rPr>
          <w:rFonts w:hint="eastAsia"/>
          <w:bCs/>
          <w:color w:val="000000"/>
          <w:szCs w:val="21"/>
        </w:rPr>
        <w:t>琉</w:t>
      </w:r>
      <w:proofErr w:type="gramEnd"/>
      <w:r w:rsidRPr="00187DB0">
        <w:rPr>
          <w:rFonts w:hint="eastAsia"/>
          <w:bCs/>
          <w:color w:val="000000"/>
          <w:szCs w:val="21"/>
        </w:rPr>
        <w:t>科托</w:t>
      </w:r>
      <w:proofErr w:type="gramStart"/>
      <w:r w:rsidRPr="00187DB0">
        <w:rPr>
          <w:rFonts w:hint="eastAsia"/>
          <w:bCs/>
          <w:color w:val="000000"/>
          <w:szCs w:val="21"/>
        </w:rPr>
        <w:t>厄</w:t>
      </w:r>
      <w:proofErr w:type="gramEnd"/>
      <w:r w:rsidRPr="00187DB0">
        <w:rPr>
          <w:rFonts w:hint="eastAsia"/>
          <w:bCs/>
          <w:color w:val="000000"/>
          <w:szCs w:val="21"/>
        </w:rPr>
        <w:t>、强奸神话与解释学不公</w:t>
      </w:r>
    </w:p>
    <w:p w14:paraId="427141A5" w14:textId="279986E3" w:rsidR="006221BC" w:rsidRPr="006221BC" w:rsidRDefault="00187DB0" w:rsidP="00187DB0">
      <w:pPr>
        <w:jc w:val="center"/>
        <w:rPr>
          <w:bCs/>
          <w:color w:val="000000"/>
          <w:szCs w:val="21"/>
        </w:rPr>
      </w:pPr>
      <w:r>
        <w:rPr>
          <w:rFonts w:hint="eastAsia"/>
          <w:bCs/>
          <w:color w:val="000000"/>
          <w:szCs w:val="21"/>
        </w:rPr>
        <w:t>1</w:t>
      </w:r>
      <w:r>
        <w:rPr>
          <w:bCs/>
          <w:color w:val="000000"/>
          <w:szCs w:val="21"/>
        </w:rPr>
        <w:t xml:space="preserve">1. </w:t>
      </w:r>
      <w:r w:rsidRPr="00187DB0">
        <w:rPr>
          <w:rFonts w:hint="eastAsia"/>
          <w:bCs/>
          <w:color w:val="000000"/>
          <w:szCs w:val="21"/>
        </w:rPr>
        <w:t>“无力反抗”</w:t>
      </w:r>
      <w:r w:rsidR="006221BC" w:rsidRPr="006221BC">
        <w:rPr>
          <w:rFonts w:hint="eastAsia"/>
          <w:bCs/>
          <w:color w:val="000000"/>
          <w:szCs w:val="21"/>
        </w:rPr>
        <w:t>：</w:t>
      </w:r>
      <w:r w:rsidRPr="00187DB0">
        <w:rPr>
          <w:rFonts w:hint="eastAsia"/>
          <w:bCs/>
          <w:color w:val="000000"/>
          <w:szCs w:val="21"/>
        </w:rPr>
        <w:t>欧摩尔波斯笔下佩尔加蒙少年故事中的性侵犯</w:t>
      </w:r>
    </w:p>
    <w:p w14:paraId="0DF03AD3" w14:textId="1B99BE49" w:rsidR="006221BC" w:rsidRPr="006221BC" w:rsidRDefault="00187DB0" w:rsidP="00187DB0">
      <w:pPr>
        <w:jc w:val="center"/>
        <w:rPr>
          <w:bCs/>
          <w:color w:val="000000"/>
          <w:szCs w:val="21"/>
        </w:rPr>
      </w:pPr>
      <w:r>
        <w:rPr>
          <w:rFonts w:hint="eastAsia"/>
          <w:bCs/>
          <w:color w:val="000000"/>
          <w:szCs w:val="21"/>
        </w:rPr>
        <w:t>1</w:t>
      </w:r>
      <w:r>
        <w:rPr>
          <w:bCs/>
          <w:color w:val="000000"/>
          <w:szCs w:val="21"/>
        </w:rPr>
        <w:t xml:space="preserve">2. </w:t>
      </w:r>
      <w:r w:rsidR="006221BC" w:rsidRPr="006221BC">
        <w:rPr>
          <w:rFonts w:hint="eastAsia"/>
          <w:bCs/>
          <w:color w:val="000000"/>
          <w:szCs w:val="21"/>
        </w:rPr>
        <w:t>女性</w:t>
      </w:r>
      <w:proofErr w:type="gramStart"/>
      <w:r w:rsidR="006221BC" w:rsidRPr="006221BC">
        <w:rPr>
          <w:rFonts w:hint="eastAsia"/>
          <w:bCs/>
          <w:color w:val="000000"/>
          <w:szCs w:val="21"/>
        </w:rPr>
        <w:t>主义斯多葛</w:t>
      </w:r>
      <w:proofErr w:type="gramEnd"/>
      <w:r w:rsidR="006221BC" w:rsidRPr="006221BC">
        <w:rPr>
          <w:rFonts w:hint="eastAsia"/>
          <w:bCs/>
          <w:color w:val="000000"/>
          <w:szCs w:val="21"/>
        </w:rPr>
        <w:t>主义的可行性：</w:t>
      </w:r>
      <w:proofErr w:type="gramStart"/>
      <w:r w:rsidRPr="00187DB0">
        <w:rPr>
          <w:rFonts w:hint="eastAsia"/>
          <w:bCs/>
          <w:color w:val="000000"/>
          <w:szCs w:val="21"/>
        </w:rPr>
        <w:t>论斯多葛</w:t>
      </w:r>
      <w:proofErr w:type="gramEnd"/>
      <w:r w:rsidRPr="00187DB0">
        <w:rPr>
          <w:rFonts w:hint="eastAsia"/>
          <w:bCs/>
          <w:color w:val="000000"/>
          <w:szCs w:val="21"/>
        </w:rPr>
        <w:t>主义与女性主义认识论的兼容性</w:t>
      </w:r>
    </w:p>
    <w:p w14:paraId="540D68FF" w14:textId="5A284EE6" w:rsidR="006221BC" w:rsidRPr="006221BC" w:rsidRDefault="00187DB0" w:rsidP="00187DB0">
      <w:pPr>
        <w:jc w:val="center"/>
        <w:rPr>
          <w:bCs/>
          <w:color w:val="000000"/>
          <w:szCs w:val="21"/>
        </w:rPr>
      </w:pPr>
      <w:r>
        <w:rPr>
          <w:rFonts w:hint="eastAsia"/>
          <w:bCs/>
          <w:color w:val="000000"/>
          <w:szCs w:val="21"/>
        </w:rPr>
        <w:t>1</w:t>
      </w:r>
      <w:r>
        <w:rPr>
          <w:bCs/>
          <w:color w:val="000000"/>
          <w:szCs w:val="21"/>
        </w:rPr>
        <w:t xml:space="preserve">3. </w:t>
      </w:r>
      <w:r w:rsidR="006221BC" w:rsidRPr="006221BC">
        <w:rPr>
          <w:rFonts w:hint="eastAsia"/>
          <w:bCs/>
          <w:color w:val="000000"/>
          <w:szCs w:val="21"/>
        </w:rPr>
        <w:t>众所周知：中世纪</w:t>
      </w:r>
      <w:proofErr w:type="gramStart"/>
      <w:r w:rsidRPr="00187DB0">
        <w:rPr>
          <w:rFonts w:hint="eastAsia"/>
          <w:bCs/>
          <w:color w:val="000000"/>
          <w:szCs w:val="21"/>
        </w:rPr>
        <w:t>伊菲斯故事</w:t>
      </w:r>
      <w:proofErr w:type="gramEnd"/>
      <w:r w:rsidRPr="00187DB0">
        <w:rPr>
          <w:rFonts w:hint="eastAsia"/>
          <w:bCs/>
          <w:color w:val="000000"/>
          <w:szCs w:val="21"/>
        </w:rPr>
        <w:t>中的</w:t>
      </w:r>
      <w:bookmarkStart w:id="0" w:name="_GoBack"/>
      <w:bookmarkEnd w:id="0"/>
      <w:r w:rsidRPr="00187DB0">
        <w:rPr>
          <w:rFonts w:hint="eastAsia"/>
          <w:bCs/>
          <w:color w:val="000000"/>
          <w:szCs w:val="21"/>
        </w:rPr>
        <w:t>解释学不公</w:t>
      </w:r>
    </w:p>
    <w:p w14:paraId="2181EF42" w14:textId="20F17C75" w:rsidR="006221BC" w:rsidRPr="006221BC" w:rsidRDefault="00187DB0" w:rsidP="00187DB0">
      <w:pPr>
        <w:jc w:val="center"/>
        <w:rPr>
          <w:bCs/>
          <w:color w:val="000000"/>
          <w:szCs w:val="21"/>
        </w:rPr>
      </w:pPr>
      <w:r>
        <w:rPr>
          <w:rFonts w:hint="eastAsia"/>
          <w:bCs/>
          <w:color w:val="000000"/>
          <w:szCs w:val="21"/>
        </w:rPr>
        <w:t>1</w:t>
      </w:r>
      <w:r>
        <w:rPr>
          <w:bCs/>
          <w:color w:val="000000"/>
          <w:szCs w:val="21"/>
        </w:rPr>
        <w:t xml:space="preserve">4. </w:t>
      </w:r>
      <w:r w:rsidRPr="00187DB0">
        <w:rPr>
          <w:rFonts w:hint="eastAsia"/>
          <w:bCs/>
          <w:color w:val="000000"/>
          <w:szCs w:val="21"/>
        </w:rPr>
        <w:t>巴洛克时期罗马的宗教权威与古典传统的传承：玛莎·马尔基娜的《遗作缪斯》与关怀女性主义认识论</w:t>
      </w:r>
    </w:p>
    <w:p w14:paraId="10C46AAE" w14:textId="2A9A1DAB" w:rsidR="006221BC" w:rsidRPr="006221BC" w:rsidRDefault="00187DB0" w:rsidP="00187DB0">
      <w:pPr>
        <w:jc w:val="center"/>
        <w:rPr>
          <w:bCs/>
          <w:color w:val="000000"/>
          <w:szCs w:val="21"/>
        </w:rPr>
      </w:pPr>
      <w:r>
        <w:rPr>
          <w:rFonts w:hint="eastAsia"/>
          <w:bCs/>
          <w:color w:val="000000"/>
          <w:szCs w:val="21"/>
        </w:rPr>
        <w:t>1</w:t>
      </w:r>
      <w:r>
        <w:rPr>
          <w:bCs/>
          <w:color w:val="000000"/>
          <w:szCs w:val="21"/>
        </w:rPr>
        <w:t xml:space="preserve">5. </w:t>
      </w:r>
      <w:r w:rsidR="006221BC" w:rsidRPr="006221BC">
        <w:rPr>
          <w:rFonts w:hint="eastAsia"/>
          <w:bCs/>
          <w:color w:val="000000"/>
          <w:szCs w:val="21"/>
        </w:rPr>
        <w:t>银幕上的“灰色”强奸：</w:t>
      </w:r>
      <w:r w:rsidRPr="00187DB0">
        <w:rPr>
          <w:rFonts w:hint="eastAsia"/>
          <w:bCs/>
          <w:color w:val="000000"/>
          <w:szCs w:val="21"/>
        </w:rPr>
        <w:t>古代世界大众媒体中对被奴役者的强奸描绘</w:t>
      </w:r>
    </w:p>
    <w:p w14:paraId="4BD014C8" w14:textId="77777777" w:rsidR="00187DB0" w:rsidRPr="00187DB0" w:rsidRDefault="00187DB0" w:rsidP="00187DB0">
      <w:pPr>
        <w:jc w:val="center"/>
        <w:rPr>
          <w:bCs/>
          <w:color w:val="000000"/>
          <w:szCs w:val="21"/>
        </w:rPr>
      </w:pPr>
      <w:r w:rsidRPr="00187DB0">
        <w:rPr>
          <w:rFonts w:hint="eastAsia"/>
          <w:bCs/>
          <w:color w:val="000000"/>
          <w:szCs w:val="21"/>
        </w:rPr>
        <w:t>参考文献选录</w:t>
      </w:r>
    </w:p>
    <w:p w14:paraId="2DCA4C50" w14:textId="678A85F6" w:rsidR="006221BC" w:rsidRDefault="00187DB0" w:rsidP="00187DB0">
      <w:pPr>
        <w:jc w:val="center"/>
        <w:rPr>
          <w:bCs/>
          <w:color w:val="000000"/>
          <w:szCs w:val="21"/>
        </w:rPr>
      </w:pPr>
      <w:r w:rsidRPr="00187DB0">
        <w:rPr>
          <w:rFonts w:hint="eastAsia"/>
          <w:bCs/>
          <w:color w:val="000000"/>
          <w:szCs w:val="21"/>
        </w:rPr>
        <w:t>索引</w:t>
      </w:r>
    </w:p>
    <w:p w14:paraId="54AEE079" w14:textId="77777777" w:rsidR="006221BC" w:rsidRPr="0050499B" w:rsidRDefault="006221BC" w:rsidP="006221BC">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2386B" w14:textId="77777777" w:rsidR="002C0A98" w:rsidRDefault="002C0A98">
      <w:r>
        <w:separator/>
      </w:r>
    </w:p>
  </w:endnote>
  <w:endnote w:type="continuationSeparator" w:id="0">
    <w:p w14:paraId="5238F2C9" w14:textId="77777777" w:rsidR="002C0A98" w:rsidRDefault="002C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5D785" w14:textId="77777777" w:rsidR="002C0A98" w:rsidRDefault="002C0A98">
      <w:r>
        <w:separator/>
      </w:r>
    </w:p>
  </w:footnote>
  <w:footnote w:type="continuationSeparator" w:id="0">
    <w:p w14:paraId="7004D202" w14:textId="77777777" w:rsidR="002C0A98" w:rsidRDefault="002C0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F90"/>
    <w:multiLevelType w:val="hybridMultilevel"/>
    <w:tmpl w:val="221036E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2"/>
  </w:num>
  <w:num w:numId="11">
    <w:abstractNumId w:val="1"/>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3"/>
  </w:num>
  <w:num w:numId="24">
    <w:abstractNumId w:val="6"/>
  </w:num>
  <w:num w:numId="25">
    <w:abstractNumId w:val="32"/>
  </w:num>
  <w:num w:numId="26">
    <w:abstractNumId w:val="4"/>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378"/>
    <w:rsid w:val="0015144D"/>
    <w:rsid w:val="001516D4"/>
    <w:rsid w:val="00155FF6"/>
    <w:rsid w:val="00156770"/>
    <w:rsid w:val="00162B40"/>
    <w:rsid w:val="00163F80"/>
    <w:rsid w:val="0016513E"/>
    <w:rsid w:val="00167007"/>
    <w:rsid w:val="00170BE3"/>
    <w:rsid w:val="001726C7"/>
    <w:rsid w:val="00181BA9"/>
    <w:rsid w:val="00181DE8"/>
    <w:rsid w:val="00187DAB"/>
    <w:rsid w:val="00187DB0"/>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A98"/>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39F8"/>
    <w:rsid w:val="00604E54"/>
    <w:rsid w:val="006073CF"/>
    <w:rsid w:val="0061388D"/>
    <w:rsid w:val="00616A0F"/>
    <w:rsid w:val="006176AA"/>
    <w:rsid w:val="006221BC"/>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45FA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5325"/>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37F2"/>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1B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1609649">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79459304">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5109972">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3710438">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2468">
      <w:bodyDiv w:val="1"/>
      <w:marLeft w:val="0"/>
      <w:marRight w:val="0"/>
      <w:marTop w:val="0"/>
      <w:marBottom w:val="0"/>
      <w:divBdr>
        <w:top w:val="none" w:sz="0" w:space="0" w:color="auto"/>
        <w:left w:val="none" w:sz="0" w:space="0" w:color="auto"/>
        <w:bottom w:val="none" w:sz="0" w:space="0" w:color="auto"/>
        <w:right w:val="none" w:sz="0" w:space="0" w:color="auto"/>
      </w:divBdr>
      <w:divsChild>
        <w:div w:id="1318655483">
          <w:marLeft w:val="0"/>
          <w:marRight w:val="0"/>
          <w:marTop w:val="0"/>
          <w:marBottom w:val="0"/>
          <w:divBdr>
            <w:top w:val="none" w:sz="0" w:space="0" w:color="auto"/>
            <w:left w:val="none" w:sz="0" w:space="0" w:color="auto"/>
            <w:bottom w:val="none" w:sz="0" w:space="0" w:color="auto"/>
            <w:right w:val="none" w:sz="0" w:space="0" w:color="auto"/>
          </w:divBdr>
        </w:div>
        <w:div w:id="1024670158">
          <w:marLeft w:val="0"/>
          <w:marRight w:val="0"/>
          <w:marTop w:val="0"/>
          <w:marBottom w:val="0"/>
          <w:divBdr>
            <w:top w:val="none" w:sz="0" w:space="0" w:color="auto"/>
            <w:left w:val="none" w:sz="0" w:space="0" w:color="auto"/>
            <w:bottom w:val="none" w:sz="0" w:space="0" w:color="auto"/>
            <w:right w:val="none" w:sz="0" w:space="0" w:color="auto"/>
          </w:divBdr>
        </w:div>
        <w:div w:id="876770081">
          <w:marLeft w:val="0"/>
          <w:marRight w:val="0"/>
          <w:marTop w:val="0"/>
          <w:marBottom w:val="0"/>
          <w:divBdr>
            <w:top w:val="none" w:sz="0" w:space="0" w:color="auto"/>
            <w:left w:val="none" w:sz="0" w:space="0" w:color="auto"/>
            <w:bottom w:val="none" w:sz="0" w:space="0" w:color="auto"/>
            <w:right w:val="none" w:sz="0" w:space="0" w:color="auto"/>
          </w:divBdr>
        </w:div>
        <w:div w:id="1744447869">
          <w:marLeft w:val="0"/>
          <w:marRight w:val="0"/>
          <w:marTop w:val="0"/>
          <w:marBottom w:val="0"/>
          <w:divBdr>
            <w:top w:val="none" w:sz="0" w:space="0" w:color="auto"/>
            <w:left w:val="none" w:sz="0" w:space="0" w:color="auto"/>
            <w:bottom w:val="none" w:sz="0" w:space="0" w:color="auto"/>
            <w:right w:val="none" w:sz="0" w:space="0" w:color="auto"/>
          </w:divBdr>
        </w:div>
        <w:div w:id="837311306">
          <w:marLeft w:val="0"/>
          <w:marRight w:val="0"/>
          <w:marTop w:val="0"/>
          <w:marBottom w:val="0"/>
          <w:divBdr>
            <w:top w:val="none" w:sz="0" w:space="0" w:color="auto"/>
            <w:left w:val="none" w:sz="0" w:space="0" w:color="auto"/>
            <w:bottom w:val="none" w:sz="0" w:space="0" w:color="auto"/>
            <w:right w:val="none" w:sz="0" w:space="0" w:color="auto"/>
          </w:divBdr>
        </w:div>
        <w:div w:id="1353068650">
          <w:marLeft w:val="0"/>
          <w:marRight w:val="0"/>
          <w:marTop w:val="0"/>
          <w:marBottom w:val="0"/>
          <w:divBdr>
            <w:top w:val="none" w:sz="0" w:space="0" w:color="auto"/>
            <w:left w:val="none" w:sz="0" w:space="0" w:color="auto"/>
            <w:bottom w:val="none" w:sz="0" w:space="0" w:color="auto"/>
            <w:right w:val="none" w:sz="0" w:space="0" w:color="auto"/>
          </w:divBdr>
        </w:div>
        <w:div w:id="1929003748">
          <w:marLeft w:val="0"/>
          <w:marRight w:val="0"/>
          <w:marTop w:val="0"/>
          <w:marBottom w:val="0"/>
          <w:divBdr>
            <w:top w:val="none" w:sz="0" w:space="0" w:color="auto"/>
            <w:left w:val="none" w:sz="0" w:space="0" w:color="auto"/>
            <w:bottom w:val="none" w:sz="0" w:space="0" w:color="auto"/>
            <w:right w:val="none" w:sz="0" w:space="0" w:color="auto"/>
          </w:divBdr>
        </w:div>
        <w:div w:id="1127774364">
          <w:marLeft w:val="0"/>
          <w:marRight w:val="0"/>
          <w:marTop w:val="0"/>
          <w:marBottom w:val="0"/>
          <w:divBdr>
            <w:top w:val="none" w:sz="0" w:space="0" w:color="auto"/>
            <w:left w:val="none" w:sz="0" w:space="0" w:color="auto"/>
            <w:bottom w:val="none" w:sz="0" w:space="0" w:color="auto"/>
            <w:right w:val="none" w:sz="0" w:space="0" w:color="auto"/>
          </w:divBdr>
        </w:div>
        <w:div w:id="715391596">
          <w:marLeft w:val="0"/>
          <w:marRight w:val="0"/>
          <w:marTop w:val="0"/>
          <w:marBottom w:val="0"/>
          <w:divBdr>
            <w:top w:val="none" w:sz="0" w:space="0" w:color="auto"/>
            <w:left w:val="none" w:sz="0" w:space="0" w:color="auto"/>
            <w:bottom w:val="none" w:sz="0" w:space="0" w:color="auto"/>
            <w:right w:val="none" w:sz="0" w:space="0" w:color="auto"/>
          </w:divBdr>
        </w:div>
        <w:div w:id="1832018405">
          <w:marLeft w:val="0"/>
          <w:marRight w:val="0"/>
          <w:marTop w:val="0"/>
          <w:marBottom w:val="0"/>
          <w:divBdr>
            <w:top w:val="none" w:sz="0" w:space="0" w:color="auto"/>
            <w:left w:val="none" w:sz="0" w:space="0" w:color="auto"/>
            <w:bottom w:val="none" w:sz="0" w:space="0" w:color="auto"/>
            <w:right w:val="none" w:sz="0" w:space="0" w:color="auto"/>
          </w:divBdr>
        </w:div>
        <w:div w:id="660425341">
          <w:marLeft w:val="0"/>
          <w:marRight w:val="0"/>
          <w:marTop w:val="0"/>
          <w:marBottom w:val="0"/>
          <w:divBdr>
            <w:top w:val="none" w:sz="0" w:space="0" w:color="auto"/>
            <w:left w:val="none" w:sz="0" w:space="0" w:color="auto"/>
            <w:bottom w:val="none" w:sz="0" w:space="0" w:color="auto"/>
            <w:right w:val="none" w:sz="0" w:space="0" w:color="auto"/>
          </w:divBdr>
        </w:div>
        <w:div w:id="1196575724">
          <w:marLeft w:val="0"/>
          <w:marRight w:val="0"/>
          <w:marTop w:val="0"/>
          <w:marBottom w:val="0"/>
          <w:divBdr>
            <w:top w:val="none" w:sz="0" w:space="0" w:color="auto"/>
            <w:left w:val="none" w:sz="0" w:space="0" w:color="auto"/>
            <w:bottom w:val="none" w:sz="0" w:space="0" w:color="auto"/>
            <w:right w:val="none" w:sz="0" w:space="0" w:color="auto"/>
          </w:divBdr>
        </w:div>
        <w:div w:id="880089369">
          <w:marLeft w:val="0"/>
          <w:marRight w:val="0"/>
          <w:marTop w:val="0"/>
          <w:marBottom w:val="0"/>
          <w:divBdr>
            <w:top w:val="none" w:sz="0" w:space="0" w:color="auto"/>
            <w:left w:val="none" w:sz="0" w:space="0" w:color="auto"/>
            <w:bottom w:val="none" w:sz="0" w:space="0" w:color="auto"/>
            <w:right w:val="none" w:sz="0" w:space="0" w:color="auto"/>
          </w:divBdr>
        </w:div>
        <w:div w:id="1460102208">
          <w:marLeft w:val="0"/>
          <w:marRight w:val="0"/>
          <w:marTop w:val="0"/>
          <w:marBottom w:val="0"/>
          <w:divBdr>
            <w:top w:val="none" w:sz="0" w:space="0" w:color="auto"/>
            <w:left w:val="none" w:sz="0" w:space="0" w:color="auto"/>
            <w:bottom w:val="none" w:sz="0" w:space="0" w:color="auto"/>
            <w:right w:val="none" w:sz="0" w:space="0" w:color="auto"/>
          </w:divBdr>
        </w:div>
        <w:div w:id="83653638">
          <w:marLeft w:val="0"/>
          <w:marRight w:val="0"/>
          <w:marTop w:val="0"/>
          <w:marBottom w:val="0"/>
          <w:divBdr>
            <w:top w:val="none" w:sz="0" w:space="0" w:color="auto"/>
            <w:left w:val="none" w:sz="0" w:space="0" w:color="auto"/>
            <w:bottom w:val="none" w:sz="0" w:space="0" w:color="auto"/>
            <w:right w:val="none" w:sz="0" w:space="0" w:color="auto"/>
          </w:divBdr>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79537490">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313265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12223965">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4081379">
      <w:bodyDiv w:val="1"/>
      <w:marLeft w:val="0"/>
      <w:marRight w:val="0"/>
      <w:marTop w:val="0"/>
      <w:marBottom w:val="0"/>
      <w:divBdr>
        <w:top w:val="none" w:sz="0" w:space="0" w:color="auto"/>
        <w:left w:val="none" w:sz="0" w:space="0" w:color="auto"/>
        <w:bottom w:val="none" w:sz="0" w:space="0" w:color="auto"/>
        <w:right w:val="none" w:sz="0" w:space="0" w:color="auto"/>
      </w:divBdr>
      <w:divsChild>
        <w:div w:id="275332982">
          <w:marLeft w:val="0"/>
          <w:marRight w:val="0"/>
          <w:marTop w:val="206"/>
          <w:marBottom w:val="206"/>
          <w:divBdr>
            <w:top w:val="none" w:sz="0" w:space="0" w:color="auto"/>
            <w:left w:val="none" w:sz="0" w:space="0" w:color="auto"/>
            <w:bottom w:val="none" w:sz="0" w:space="0" w:color="auto"/>
            <w:right w:val="none" w:sz="0" w:space="0" w:color="auto"/>
          </w:divBdr>
        </w:div>
        <w:div w:id="591400038">
          <w:marLeft w:val="0"/>
          <w:marRight w:val="0"/>
          <w:marTop w:val="0"/>
          <w:marBottom w:val="206"/>
          <w:divBdr>
            <w:top w:val="none" w:sz="0" w:space="0" w:color="auto"/>
            <w:left w:val="none" w:sz="0" w:space="0" w:color="auto"/>
            <w:bottom w:val="none" w:sz="0" w:space="0" w:color="auto"/>
            <w:right w:val="none" w:sz="0" w:space="0" w:color="auto"/>
          </w:divBdr>
        </w:div>
        <w:div w:id="591083183">
          <w:marLeft w:val="0"/>
          <w:marRight w:val="0"/>
          <w:marTop w:val="0"/>
          <w:marBottom w:val="206"/>
          <w:divBdr>
            <w:top w:val="none" w:sz="0" w:space="0" w:color="auto"/>
            <w:left w:val="none" w:sz="0" w:space="0" w:color="auto"/>
            <w:bottom w:val="none" w:sz="0" w:space="0" w:color="auto"/>
            <w:right w:val="none" w:sz="0" w:space="0" w:color="auto"/>
          </w:divBdr>
        </w:div>
        <w:div w:id="1730881342">
          <w:marLeft w:val="0"/>
          <w:marRight w:val="0"/>
          <w:marTop w:val="0"/>
          <w:marBottom w:val="206"/>
          <w:divBdr>
            <w:top w:val="none" w:sz="0" w:space="0" w:color="auto"/>
            <w:left w:val="none" w:sz="0" w:space="0" w:color="auto"/>
            <w:bottom w:val="none" w:sz="0" w:space="0" w:color="auto"/>
            <w:right w:val="none" w:sz="0" w:space="0" w:color="auto"/>
          </w:divBdr>
        </w:div>
        <w:div w:id="79765636">
          <w:marLeft w:val="0"/>
          <w:marRight w:val="0"/>
          <w:marTop w:val="0"/>
          <w:marBottom w:val="0"/>
          <w:divBdr>
            <w:top w:val="none" w:sz="0" w:space="0" w:color="auto"/>
            <w:left w:val="none" w:sz="0" w:space="0" w:color="auto"/>
            <w:bottom w:val="none" w:sz="0" w:space="0" w:color="auto"/>
            <w:right w:val="none" w:sz="0" w:space="0" w:color="auto"/>
          </w:divBdr>
        </w:div>
      </w:divsChild>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85098391">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2C9F-8834-47DC-926C-12B7366A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1292</Words>
  <Characters>1641</Characters>
  <Application>Microsoft Office Word</Application>
  <DocSecurity>0</DocSecurity>
  <Lines>78</Lines>
  <Paragraphs>79</Paragraphs>
  <ScaleCrop>false</ScaleCrop>
  <Company>2ndSpAcE</Company>
  <LinksUpToDate>false</LinksUpToDate>
  <CharactersWithSpaces>2854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5</cp:revision>
  <cp:lastPrinted>2005-06-10T06:33:00Z</cp:lastPrinted>
  <dcterms:created xsi:type="dcterms:W3CDTF">2025-03-11T08:38:00Z</dcterms:created>
  <dcterms:modified xsi:type="dcterms:W3CDTF">2026-01-19T06:54:00Z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