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6877F189" w:rsidR="00AE574A" w:rsidRDefault="00AE574A">
      <w:pPr>
        <w:jc w:val="center"/>
        <w:rPr>
          <w:b/>
          <w:bCs/>
          <w:color w:val="000000"/>
          <w:sz w:val="18"/>
          <w:szCs w:val="18"/>
          <w:shd w:val="pct10" w:color="auto" w:fill="FFFFFF"/>
        </w:rPr>
      </w:pPr>
    </w:p>
    <w:p w14:paraId="075845DD" w14:textId="2FF46B94"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9221D97" w:rsidR="00AE574A" w:rsidRDefault="00AE574A">
      <w:pPr>
        <w:rPr>
          <w:b/>
          <w:color w:val="000000"/>
          <w:szCs w:val="21"/>
        </w:rPr>
      </w:pPr>
    </w:p>
    <w:p w14:paraId="3DA7336F" w14:textId="123F70CE" w:rsidR="00774233" w:rsidRPr="00774233" w:rsidRDefault="00E8628C"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138F421" wp14:editId="2A30FBFC">
            <wp:simplePos x="0" y="0"/>
            <wp:positionH relativeFrom="margin">
              <wp:align>right</wp:align>
            </wp:positionH>
            <wp:positionV relativeFrom="paragraph">
              <wp:posOffset>10160</wp:posOffset>
            </wp:positionV>
            <wp:extent cx="1297940" cy="1859915"/>
            <wp:effectExtent l="0" t="0" r="0"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97940" cy="185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E5AA2" w:rsidRPr="008E5AA2">
        <w:rPr>
          <w:b/>
          <w:bCs/>
          <w:color w:val="000000"/>
          <w:szCs w:val="21"/>
        </w:rPr>
        <w:t>狂野东方</w:t>
      </w:r>
      <w:r w:rsidR="009736A9">
        <w:rPr>
          <w:rFonts w:hint="eastAsia"/>
          <w:b/>
          <w:bCs/>
          <w:color w:val="000000"/>
          <w:szCs w:val="21"/>
        </w:rPr>
        <w:t>》</w:t>
      </w:r>
    </w:p>
    <w:p w14:paraId="0A99D036" w14:textId="1F2C4692"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9405E" w:rsidRPr="00A9405E">
        <w:rPr>
          <w:b/>
          <w:bCs/>
          <w:color w:val="000000"/>
          <w:szCs w:val="21"/>
        </w:rPr>
        <w:t>THE WILD EAST</w:t>
      </w:r>
    </w:p>
    <w:p w14:paraId="39B7E419" w14:textId="617B4CA4"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94B4C" w:rsidRPr="00B94B4C">
        <w:rPr>
          <w:b/>
          <w:bCs/>
          <w:color w:val="000000"/>
          <w:szCs w:val="21"/>
          <w:lang w:val="de-DE"/>
        </w:rPr>
        <w:t>Martyn Rady</w:t>
      </w:r>
      <w:hyperlink r:id="rId9" w:history="1"/>
    </w:p>
    <w:p w14:paraId="5EB65684" w14:textId="4099DB59"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8E5AA2">
        <w:rPr>
          <w:rFonts w:hint="eastAsia"/>
          <w:b/>
          <w:bCs/>
          <w:color w:val="000000"/>
          <w:szCs w:val="21"/>
          <w:lang w:val="en-IN"/>
        </w:rPr>
        <w:t>待定</w:t>
      </w:r>
    </w:p>
    <w:p w14:paraId="1421F214" w14:textId="242AB70F" w:rsidR="00774233" w:rsidRPr="00E8628C" w:rsidRDefault="00774233" w:rsidP="00774233">
      <w:pPr>
        <w:tabs>
          <w:tab w:val="left" w:pos="341"/>
          <w:tab w:val="left" w:pos="5235"/>
        </w:tabs>
        <w:rPr>
          <w:b/>
          <w:bCs/>
          <w:color w:val="000000"/>
          <w:szCs w:val="21"/>
          <w:lang w:val="de-DE"/>
        </w:rPr>
      </w:pPr>
      <w:r w:rsidRPr="00774233">
        <w:rPr>
          <w:b/>
          <w:bCs/>
          <w:color w:val="000000"/>
          <w:szCs w:val="21"/>
        </w:rPr>
        <w:t>代理公司</w:t>
      </w:r>
      <w:r w:rsidRPr="00E8628C">
        <w:rPr>
          <w:b/>
          <w:bCs/>
          <w:color w:val="000000"/>
          <w:szCs w:val="21"/>
          <w:lang w:val="de-DE"/>
        </w:rPr>
        <w:t>：</w:t>
      </w:r>
      <w:r w:rsidR="00B94B4C" w:rsidRPr="00B94B4C">
        <w:rPr>
          <w:b/>
          <w:bCs/>
          <w:color w:val="000000"/>
          <w:szCs w:val="21"/>
          <w:lang w:val="de-DE"/>
        </w:rPr>
        <w:t>PFD/ANA/Jessica</w:t>
      </w:r>
    </w:p>
    <w:p w14:paraId="7550A0DC" w14:textId="40E478B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E5AA2">
        <w:rPr>
          <w:rFonts w:hint="eastAsia"/>
          <w:b/>
          <w:bCs/>
          <w:color w:val="000000"/>
          <w:szCs w:val="21"/>
        </w:rPr>
        <w:t>待定</w:t>
      </w:r>
    </w:p>
    <w:p w14:paraId="31380F95" w14:textId="2569353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8E5AA2">
        <w:rPr>
          <w:rFonts w:hint="eastAsia"/>
          <w:b/>
          <w:bCs/>
          <w:color w:val="000000"/>
          <w:szCs w:val="21"/>
        </w:rPr>
        <w:t>待定</w:t>
      </w:r>
    </w:p>
    <w:p w14:paraId="4EBAA41D" w14:textId="06ACE56D" w:rsidR="00774233" w:rsidRPr="00774233" w:rsidRDefault="00774233" w:rsidP="00774233">
      <w:pPr>
        <w:rPr>
          <w:b/>
          <w:bCs/>
          <w:color w:val="000000"/>
        </w:rPr>
      </w:pPr>
      <w:r w:rsidRPr="00774233">
        <w:rPr>
          <w:b/>
          <w:bCs/>
          <w:color w:val="000000"/>
        </w:rPr>
        <w:t>代理地区：中国大陆、台湾</w:t>
      </w:r>
    </w:p>
    <w:p w14:paraId="6936D655" w14:textId="2D48B7A8"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8A5F040"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E5AA2">
        <w:rPr>
          <w:rFonts w:hint="eastAsia"/>
          <w:b/>
          <w:bCs/>
          <w:szCs w:val="21"/>
        </w:rPr>
        <w:t>历史</w:t>
      </w:r>
    </w:p>
    <w:p w14:paraId="7DB3BC23" w14:textId="7CE3DF76" w:rsidR="00B94B4C" w:rsidRPr="00B94B4C" w:rsidRDefault="00B94B4C" w:rsidP="00433082">
      <w:pPr>
        <w:tabs>
          <w:tab w:val="left" w:pos="341"/>
          <w:tab w:val="left" w:pos="5235"/>
        </w:tabs>
        <w:rPr>
          <w:b/>
          <w:bCs/>
          <w:color w:val="EE0000"/>
          <w:szCs w:val="21"/>
        </w:rPr>
      </w:pPr>
      <w:r w:rsidRPr="00B94B4C">
        <w:rPr>
          <w:rFonts w:hint="eastAsia"/>
          <w:b/>
          <w:bCs/>
          <w:color w:val="EE0000"/>
          <w:szCs w:val="21"/>
        </w:rPr>
        <w:t>版权已授：美国、英国</w:t>
      </w:r>
    </w:p>
    <w:p w14:paraId="048148F7" w14:textId="0B71007B" w:rsidR="0048541A" w:rsidRPr="00B94B4C" w:rsidRDefault="00B94B4C" w:rsidP="00B94B4C">
      <w:pPr>
        <w:rPr>
          <w:b/>
          <w:bCs/>
          <w:color w:val="EE0000"/>
          <w:szCs w:val="21"/>
        </w:rPr>
      </w:pPr>
      <w:r w:rsidRPr="00B94B4C">
        <w:rPr>
          <w:b/>
          <w:bCs/>
          <w:color w:val="EE0000"/>
          <w:szCs w:val="21"/>
        </w:rPr>
        <w:t>作者前作版权已授：</w:t>
      </w:r>
      <w:r w:rsidR="00201EF4">
        <w:rPr>
          <w:rFonts w:hint="eastAsia"/>
          <w:b/>
          <w:bCs/>
          <w:color w:val="EE0000"/>
          <w:szCs w:val="21"/>
        </w:rPr>
        <w:t>中文简体</w:t>
      </w:r>
      <w:r w:rsidR="00201EF4" w:rsidRPr="00B94B4C">
        <w:rPr>
          <w:rFonts w:hint="eastAsia"/>
          <w:b/>
          <w:bCs/>
          <w:color w:val="EE0000"/>
          <w:szCs w:val="21"/>
        </w:rPr>
        <w:t>、</w:t>
      </w:r>
      <w:r w:rsidRPr="00B94B4C">
        <w:rPr>
          <w:rFonts w:hint="eastAsia"/>
          <w:b/>
          <w:bCs/>
          <w:color w:val="EE0000"/>
          <w:szCs w:val="21"/>
        </w:rPr>
        <w:t>克罗地亚、捷克、荷兰、德国、匈牙利、韩国、立陶宛、波兰、巴西、葡萄牙、罗马尼亚、俄罗斯、塞尔维亚、斯洛伐克、西班牙、土耳其、乌克兰</w:t>
      </w:r>
    </w:p>
    <w:p w14:paraId="368D214F" w14:textId="72E88787" w:rsidR="006E568B" w:rsidRDefault="006E568B" w:rsidP="006E568B">
      <w:pPr>
        <w:rPr>
          <w:color w:val="000000"/>
          <w:szCs w:val="21"/>
        </w:rPr>
      </w:pPr>
    </w:p>
    <w:p w14:paraId="11FED2D9" w14:textId="575ED88E" w:rsidR="006E568B" w:rsidRPr="006E568B" w:rsidRDefault="006E568B" w:rsidP="006E568B">
      <w:pPr>
        <w:rPr>
          <w:color w:val="000000"/>
          <w:szCs w:val="21"/>
        </w:rPr>
      </w:pPr>
    </w:p>
    <w:p w14:paraId="0FB5D46A" w14:textId="20947264" w:rsidR="00AE574A" w:rsidRPr="00626B30" w:rsidRDefault="00A14DF2">
      <w:pPr>
        <w:rPr>
          <w:color w:val="000000"/>
          <w:szCs w:val="21"/>
        </w:rPr>
      </w:pPr>
      <w:r w:rsidRPr="00626B30">
        <w:rPr>
          <w:b/>
          <w:bCs/>
          <w:color w:val="000000"/>
          <w:szCs w:val="21"/>
        </w:rPr>
        <w:t>内容简介：</w:t>
      </w:r>
    </w:p>
    <w:p w14:paraId="022A5A75" w14:textId="2A1E468D" w:rsidR="00A5385A" w:rsidRDefault="00A5385A" w:rsidP="008167E8">
      <w:pPr>
        <w:rPr>
          <w:bCs/>
          <w:color w:val="000000"/>
          <w:szCs w:val="21"/>
        </w:rPr>
      </w:pPr>
    </w:p>
    <w:p w14:paraId="31B2B36A" w14:textId="77777777" w:rsidR="00F57F09" w:rsidRPr="00F57F09" w:rsidRDefault="00B94B4C" w:rsidP="00B94B4C">
      <w:pPr>
        <w:ind w:firstLineChars="200" w:firstLine="422"/>
        <w:rPr>
          <w:b/>
          <w:color w:val="000000"/>
          <w:szCs w:val="21"/>
        </w:rPr>
      </w:pPr>
      <w:r w:rsidRPr="00F57F09">
        <w:rPr>
          <w:rFonts w:hint="eastAsia"/>
          <w:b/>
          <w:color w:val="000000"/>
          <w:szCs w:val="21"/>
        </w:rPr>
        <w:t>《狂野东方》是一部东欧历史著作。其焦点集中于巴尔干地区，以及从波罗的海延伸至黑海的广阔地带。</w:t>
      </w:r>
    </w:p>
    <w:p w14:paraId="36727B54" w14:textId="77777777" w:rsidR="00F57F09" w:rsidRDefault="00F57F09" w:rsidP="00B94B4C">
      <w:pPr>
        <w:ind w:firstLineChars="200" w:firstLine="420"/>
        <w:rPr>
          <w:bCs/>
          <w:color w:val="000000"/>
          <w:szCs w:val="21"/>
        </w:rPr>
      </w:pPr>
    </w:p>
    <w:p w14:paraId="57ADEECF" w14:textId="2F99B2F0" w:rsidR="00B94B4C" w:rsidRPr="00B94B4C" w:rsidRDefault="00B94B4C" w:rsidP="00B94B4C">
      <w:pPr>
        <w:ind w:firstLineChars="200" w:firstLine="420"/>
        <w:rPr>
          <w:bCs/>
          <w:color w:val="000000"/>
          <w:szCs w:val="21"/>
        </w:rPr>
      </w:pPr>
      <w:r w:rsidRPr="00B94B4C">
        <w:rPr>
          <w:rFonts w:hint="eastAsia"/>
          <w:bCs/>
          <w:color w:val="000000"/>
          <w:szCs w:val="21"/>
        </w:rPr>
        <w:t>关于这一区域的诸多历史著述多为民族国家史。它们将现有国家形态视为既定历史前提并由此回溯，常出现诸如</w:t>
      </w:r>
      <w:r w:rsidR="007826CF">
        <w:rPr>
          <w:rFonts w:hint="eastAsia"/>
          <w:bCs/>
          <w:color w:val="000000"/>
          <w:szCs w:val="21"/>
        </w:rPr>
        <w:t>“</w:t>
      </w:r>
      <w:r w:rsidRPr="00B94B4C">
        <w:rPr>
          <w:rFonts w:hint="eastAsia"/>
          <w:bCs/>
          <w:color w:val="000000"/>
          <w:szCs w:val="21"/>
        </w:rPr>
        <w:t>中世纪马其顿</w:t>
      </w:r>
      <w:r w:rsidR="007826CF">
        <w:rPr>
          <w:rFonts w:hint="eastAsia"/>
          <w:bCs/>
          <w:color w:val="000000"/>
          <w:szCs w:val="21"/>
        </w:rPr>
        <w:t>”</w:t>
      </w:r>
      <w:r w:rsidRPr="00B94B4C">
        <w:rPr>
          <w:rFonts w:hint="eastAsia"/>
          <w:bCs/>
          <w:color w:val="000000"/>
          <w:szCs w:val="21"/>
        </w:rPr>
        <w:t>或</w:t>
      </w:r>
      <w:r w:rsidR="007826CF">
        <w:rPr>
          <w:rFonts w:hint="eastAsia"/>
          <w:bCs/>
          <w:color w:val="000000"/>
          <w:szCs w:val="21"/>
        </w:rPr>
        <w:t>“</w:t>
      </w:r>
      <w:r w:rsidRPr="00B94B4C">
        <w:rPr>
          <w:rFonts w:hint="eastAsia"/>
          <w:bCs/>
          <w:color w:val="000000"/>
          <w:szCs w:val="21"/>
        </w:rPr>
        <w:t>奥斯曼帝国时期的希腊</w:t>
      </w:r>
      <w:r w:rsidR="007826CF">
        <w:rPr>
          <w:rFonts w:hint="eastAsia"/>
          <w:bCs/>
          <w:color w:val="000000"/>
          <w:szCs w:val="21"/>
        </w:rPr>
        <w:t>”</w:t>
      </w:r>
      <w:r w:rsidRPr="00B94B4C">
        <w:rPr>
          <w:rFonts w:hint="eastAsia"/>
          <w:bCs/>
          <w:color w:val="000000"/>
          <w:szCs w:val="21"/>
        </w:rPr>
        <w:t>等时代错置的章节标题。本书则逆向而行，从公元五世纪罗马帝国溃退后的混沌局势启程，揭示这些边境之地如何诞生、兴盛，又如何屡次在帝国扩张中湮灭，直至每个帝国衰落时又以新的形态与面貌重生。今日东欧的地图版图实为近代产物，诞生于条约、战争与偶然。现有国家的疆界形态乃至其存在本身，皆非历史必然。</w:t>
      </w:r>
    </w:p>
    <w:p w14:paraId="46AF6958" w14:textId="23F21F5E" w:rsidR="00B94B4C" w:rsidRPr="00B94B4C" w:rsidRDefault="00B94B4C" w:rsidP="00B94B4C">
      <w:pPr>
        <w:ind w:firstLineChars="200" w:firstLine="420"/>
        <w:rPr>
          <w:bCs/>
          <w:color w:val="000000"/>
          <w:szCs w:val="21"/>
        </w:rPr>
      </w:pPr>
    </w:p>
    <w:p w14:paraId="77E53B00" w14:textId="05E96E4B" w:rsidR="00EC0ABD" w:rsidRDefault="00B94B4C" w:rsidP="00B94B4C">
      <w:pPr>
        <w:ind w:firstLineChars="200" w:firstLine="420"/>
        <w:rPr>
          <w:bCs/>
          <w:color w:val="000000"/>
          <w:szCs w:val="21"/>
        </w:rPr>
      </w:pPr>
      <w:r w:rsidRPr="00B94B4C">
        <w:rPr>
          <w:rFonts w:hint="eastAsia"/>
          <w:bCs/>
          <w:color w:val="000000"/>
          <w:szCs w:val="21"/>
        </w:rPr>
        <w:t>本书不止于权力政治叙事。东欧的边疆与帝国横跨欧洲历史的重大断裂带，矗立于不同宗教、政治体制、艺术与文化传统的交汇处。北方条顿骑士团天主教冰骑士及其在波罗的海沿岸修筑的森严砖堡，正教会贝尔格莱德圣萨瓦大教堂的恢弘壮丽，今日北马其顿境内如林的宣礼塔，以及立陶宛的木构犹太会堂与祈祷室</w:t>
      </w:r>
      <w:r w:rsidR="008E5AA2">
        <w:rPr>
          <w:rFonts w:hint="eastAsia"/>
          <w:bCs/>
          <w:color w:val="000000"/>
          <w:szCs w:val="21"/>
        </w:rPr>
        <w:t>，</w:t>
      </w:r>
      <w:r w:rsidRPr="00B94B4C">
        <w:rPr>
          <w:rFonts w:hint="eastAsia"/>
          <w:bCs/>
          <w:color w:val="000000"/>
          <w:szCs w:val="21"/>
        </w:rPr>
        <w:t>所有这些共同构成了东欧的历史遗产。</w:t>
      </w:r>
    </w:p>
    <w:p w14:paraId="0D6D6191" w14:textId="1DF4B55B" w:rsidR="007826CF" w:rsidRDefault="007826CF">
      <w:pPr>
        <w:rPr>
          <w:b/>
          <w:bCs/>
          <w:color w:val="000000"/>
          <w:szCs w:val="21"/>
        </w:rPr>
      </w:pPr>
    </w:p>
    <w:p w14:paraId="3EF936BC" w14:textId="0B4655A9" w:rsidR="007826CF" w:rsidRDefault="007826CF">
      <w:pPr>
        <w:rPr>
          <w:b/>
          <w:bCs/>
          <w:color w:val="000000"/>
          <w:szCs w:val="21"/>
        </w:rPr>
      </w:pPr>
    </w:p>
    <w:p w14:paraId="6F304A7F" w14:textId="01850E3C" w:rsidR="00AE574A" w:rsidRDefault="00A14DF2">
      <w:pPr>
        <w:rPr>
          <w:b/>
          <w:bCs/>
          <w:color w:val="000000"/>
          <w:szCs w:val="21"/>
        </w:rPr>
      </w:pPr>
      <w:r>
        <w:rPr>
          <w:b/>
          <w:bCs/>
          <w:color w:val="000000"/>
          <w:szCs w:val="21"/>
        </w:rPr>
        <w:t>作者简介：</w:t>
      </w:r>
    </w:p>
    <w:p w14:paraId="2AA6E47F" w14:textId="688CE2E4" w:rsidR="00A63852" w:rsidRDefault="00A63852" w:rsidP="00A63852">
      <w:pPr>
        <w:rPr>
          <w:b/>
          <w:bCs/>
          <w:color w:val="000000"/>
          <w:szCs w:val="21"/>
        </w:rPr>
      </w:pPr>
    </w:p>
    <w:p w14:paraId="77DFBAD6" w14:textId="4F06D37D" w:rsidR="000F27FD" w:rsidRPr="002F7719" w:rsidRDefault="00FB2044" w:rsidP="002F7719">
      <w:pPr>
        <w:ind w:firstLineChars="200" w:firstLine="420"/>
        <w:rPr>
          <w:noProof/>
        </w:rPr>
      </w:pPr>
      <w:r>
        <w:rPr>
          <w:noProof/>
        </w:rPr>
        <w:lastRenderedPageBreak/>
        <w:drawing>
          <wp:anchor distT="0" distB="0" distL="114300" distR="114300" simplePos="0" relativeHeight="251671552" behindDoc="0" locked="0" layoutInCell="1" allowOverlap="1" wp14:anchorId="2BE1831F" wp14:editId="50B3029B">
            <wp:simplePos x="0" y="0"/>
            <wp:positionH relativeFrom="margin">
              <wp:align>left</wp:align>
            </wp:positionH>
            <wp:positionV relativeFrom="paragraph">
              <wp:posOffset>8890</wp:posOffset>
            </wp:positionV>
            <wp:extent cx="928370" cy="944880"/>
            <wp:effectExtent l="0" t="0" r="5080" b="7620"/>
            <wp:wrapSquare wrapText="bothSides"/>
            <wp:docPr id="8701384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tSeoTit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477" cy="953038"/>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"/Users/alice/Library/Group Containers/UBF8T346G9.ms/WebArchiveCopyPasteTempFiles/com.microsoft.Word/202408142138422453.png" \* MERGEFORMATINET </w:instrText>
      </w:r>
      <w:r>
        <w:fldChar w:fldCharType="end"/>
      </w:r>
      <w:r w:rsidRPr="00FB2044">
        <w:rPr>
          <w:b/>
          <w:bCs/>
          <w:noProof/>
        </w:rPr>
        <w:t>马丁</w:t>
      </w:r>
      <w:r w:rsidRPr="00FB2044">
        <w:rPr>
          <w:rFonts w:hint="eastAsia"/>
          <w:b/>
          <w:bCs/>
          <w:noProof/>
        </w:rPr>
        <w:t>·</w:t>
      </w:r>
      <w:r w:rsidRPr="00FB2044">
        <w:rPr>
          <w:b/>
          <w:bCs/>
          <w:noProof/>
        </w:rPr>
        <w:t>拉迪</w:t>
      </w:r>
      <w:r w:rsidRPr="00FB2044">
        <w:rPr>
          <w:noProof/>
        </w:rPr>
        <w:t>（</w:t>
      </w:r>
      <w:r w:rsidRPr="00FB2044">
        <w:rPr>
          <w:b/>
          <w:bCs/>
          <w:noProof/>
        </w:rPr>
        <w:t>Martyn Rady</w:t>
      </w:r>
      <w:r w:rsidRPr="00FB2044">
        <w:rPr>
          <w:noProof/>
        </w:rPr>
        <w:t>），伦敦大学学院斯拉夫与东欧研究学院历史学教授，主要研究领域为中欧史。马丁</w:t>
      </w:r>
      <w:r w:rsidRPr="00FB2044">
        <w:rPr>
          <w:noProof/>
        </w:rPr>
        <w:t>·</w:t>
      </w:r>
      <w:r w:rsidRPr="00FB2044">
        <w:rPr>
          <w:noProof/>
        </w:rPr>
        <w:t>拉迪为当今国际上哈布斯堡家族研究造诣深厚的学者之一，历任伦敦大学学院斯拉夫与东欧研究学院的学术会议主席和历史系主任。</w:t>
      </w:r>
      <w:r w:rsidRPr="00FB2044">
        <w:rPr>
          <w:noProof/>
        </w:rPr>
        <w:t>2004</w:t>
      </w:r>
      <w:r w:rsidRPr="00FB2044">
        <w:rPr>
          <w:noProof/>
        </w:rPr>
        <w:t>年，拉迪被授予现代人文研究协会终身荣誉会员。曾著有《哈布斯堡帝国简史》《查理五世》等历史著作。</w:t>
      </w:r>
    </w:p>
    <w:p w14:paraId="126DB76F" w14:textId="1A46ECD0" w:rsidR="003B16CC" w:rsidRDefault="003B16CC" w:rsidP="003B16CC">
      <w:pPr>
        <w:rPr>
          <w:color w:val="000000"/>
          <w:szCs w:val="21"/>
        </w:rPr>
      </w:pPr>
    </w:p>
    <w:p w14:paraId="7D1D1570" w14:textId="77777777" w:rsidR="004912CC" w:rsidRDefault="004912CC" w:rsidP="00A5385A">
      <w:pPr>
        <w:rPr>
          <w:bCs/>
          <w:color w:val="000000"/>
          <w:szCs w:val="21"/>
        </w:rPr>
      </w:pPr>
    </w:p>
    <w:p w14:paraId="082EC688" w14:textId="7E77C1DB" w:rsidR="00273E74" w:rsidRDefault="00201EF4" w:rsidP="00A5385A">
      <w:pPr>
        <w:rPr>
          <w:b/>
          <w:color w:val="000000"/>
          <w:szCs w:val="21"/>
        </w:rPr>
      </w:pPr>
      <w:r>
        <w:rPr>
          <w:rFonts w:hint="eastAsia"/>
          <w:b/>
          <w:color w:val="000000"/>
          <w:szCs w:val="21"/>
        </w:rPr>
        <w:t>全书</w:t>
      </w:r>
      <w:r w:rsidR="00273E74" w:rsidRPr="00273E74">
        <w:rPr>
          <w:rFonts w:hint="eastAsia"/>
          <w:b/>
          <w:color w:val="000000"/>
          <w:szCs w:val="21"/>
        </w:rPr>
        <w:t>目录：</w:t>
      </w:r>
    </w:p>
    <w:p w14:paraId="56F1C61D" w14:textId="77777777" w:rsidR="00273E74" w:rsidRPr="00F57F09" w:rsidRDefault="00273E74" w:rsidP="00273E74">
      <w:pPr>
        <w:rPr>
          <w:rFonts w:ascii="宋体" w:hAnsi="宋体"/>
          <w:bCs/>
          <w:color w:val="000000"/>
          <w:szCs w:val="21"/>
        </w:rPr>
      </w:pPr>
    </w:p>
    <w:p w14:paraId="7BE287DF" w14:textId="672D4F48"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引言</w:t>
      </w:r>
    </w:p>
    <w:p w14:paraId="3C836189" w14:textId="6D25E779"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第一章：幽暗密林兵临罗马</w:t>
      </w:r>
    </w:p>
    <w:p w14:paraId="1741916D" w14:textId="1106DDD6"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第二章：阿提拉之后：阿瓦尔人、斯拉夫人与保加尔人</w:t>
      </w:r>
    </w:p>
    <w:p w14:paraId="4974AF1B" w14:textId="67F05493"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第三章：死亡天使、奴隶国度与草原上的亚特兰蒂斯</w:t>
      </w:r>
    </w:p>
    <w:p w14:paraId="1C6E749B" w14:textId="4E992EC0"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第四章：米克拉加德之魅与可汗鲍里斯的困境</w:t>
      </w:r>
    </w:p>
    <w:p w14:paraId="547C10F6" w14:textId="4DDBB308"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第五章：帝国、沙皇与军阀</w:t>
      </w:r>
    </w:p>
    <w:p w14:paraId="36A37F1D" w14:textId="61F70CCC"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第六章：蒙古-鞑靼人、莫斯科与克里米亚</w:t>
      </w:r>
    </w:p>
    <w:p w14:paraId="39505BE5" w14:textId="38AC0527"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第七章：阿尔巴尼亚高地与异端王国</w:t>
      </w:r>
    </w:p>
    <w:p w14:paraId="5AE22A4B" w14:textId="5418716C"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第八章：罗兰之歌、巴尔干的牧羊人与罗马尼亚人</w:t>
      </w:r>
    </w:p>
    <w:p w14:paraId="317D71BD" w14:textId="0D4B0954"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第九章：波罗的海荒原与欧洲东方壁垒的形成</w:t>
      </w:r>
    </w:p>
    <w:p w14:paraId="3481281E" w14:textId="750D41F8"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第十章：奥斯曼帝国、金苹果与三大家族</w:t>
      </w:r>
    </w:p>
    <w:p w14:paraId="59ECD32D" w14:textId="3524EECE"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第十一章：环北极地带、伊凡雷帝与神圣罗斯</w:t>
      </w:r>
    </w:p>
    <w:p w14:paraId="6D6E3BBD" w14:textId="78293719"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第十二章：异教徒、新教徒与木构犹太会堂</w:t>
      </w:r>
    </w:p>
    <w:p w14:paraId="38F6AC0F" w14:textId="7046CDD3"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第十三章：黑蟹之险及其他殖民空间</w:t>
      </w:r>
    </w:p>
    <w:p w14:paraId="6A339297" w14:textId="22A2DD40"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第十四章：荒野、哥萨克与巨兽的摇篮</w:t>
      </w:r>
    </w:p>
    <w:p w14:paraId="578B8E36" w14:textId="70981C71"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第十五章：要塞与战略危机：从波多利亚到雅典</w:t>
      </w:r>
    </w:p>
    <w:p w14:paraId="1FDB81EA" w14:textId="52D85735"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第十六章：灯塔亲王与北方克里奥佩特拉</w:t>
      </w:r>
    </w:p>
    <w:p w14:paraId="4313AEBF" w14:textId="7E9AEF81"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第十七章：波兰-立陶宛</w:t>
      </w:r>
      <w:bookmarkStart w:id="0" w:name="_GoBack"/>
      <w:bookmarkEnd w:id="0"/>
      <w:r w:rsidRPr="00F57F09">
        <w:rPr>
          <w:rFonts w:ascii="宋体" w:hAnsi="宋体" w:hint="eastAsia"/>
          <w:bCs/>
          <w:color w:val="000000"/>
          <w:szCs w:val="21"/>
        </w:rPr>
        <w:t>的灭亡与俄罗斯的西进帝国</w:t>
      </w:r>
    </w:p>
    <w:p w14:paraId="6523ACD3" w14:textId="5AC27872"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第十八章：后宫奴隶、吉普赛女郎与萨尔马提亚亚马逊人</w:t>
      </w:r>
    </w:p>
    <w:p w14:paraId="24AA19E2" w14:textId="7304D075"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第十九章：地图上的空白与列强在巴尔干</w:t>
      </w:r>
    </w:p>
    <w:p w14:paraId="2CAFB6EA" w14:textId="2179911A"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第二十章：巴尔干的大理念与旧帝国</w:t>
      </w:r>
    </w:p>
    <w:p w14:paraId="6C08F13E" w14:textId="06FF34AC"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第二十一章：欧洲</w:t>
      </w:r>
      <w:r w:rsidR="003D7EA5">
        <w:rPr>
          <w:rFonts w:ascii="宋体" w:hAnsi="宋体" w:hint="eastAsia"/>
          <w:bCs/>
          <w:color w:val="000000"/>
          <w:szCs w:val="21"/>
        </w:rPr>
        <w:t>“</w:t>
      </w:r>
      <w:r w:rsidRPr="00F57F09">
        <w:rPr>
          <w:rFonts w:ascii="宋体" w:hAnsi="宋体" w:hint="eastAsia"/>
          <w:bCs/>
          <w:color w:val="000000"/>
          <w:szCs w:val="21"/>
        </w:rPr>
        <w:t>病夫</w:t>
      </w:r>
      <w:r w:rsidR="003D7EA5">
        <w:rPr>
          <w:rFonts w:ascii="宋体" w:hAnsi="宋体" w:hint="eastAsia"/>
          <w:bCs/>
          <w:color w:val="000000"/>
          <w:szCs w:val="21"/>
        </w:rPr>
        <w:t>”</w:t>
      </w:r>
      <w:r w:rsidRPr="00F57F09">
        <w:rPr>
          <w:rFonts w:ascii="宋体" w:hAnsi="宋体" w:hint="eastAsia"/>
          <w:bCs/>
          <w:color w:val="000000"/>
          <w:szCs w:val="21"/>
        </w:rPr>
        <w:t>与保加利亚惨案</w:t>
      </w:r>
    </w:p>
    <w:p w14:paraId="2E1BC73E" w14:textId="3C2AE214"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第二十二章：黑山与虚饰政治</w:t>
      </w:r>
    </w:p>
    <w:p w14:paraId="7AB768C4" w14:textId="137FA28F"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第二十三章：毛皮加利亚与波斯尼亚贝德斯蒂斯</w:t>
      </w:r>
    </w:p>
    <w:p w14:paraId="693B1FD6" w14:textId="1F532336"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第二十四章：世界大战、塞尔维亚骷髅地与东方总督辖区</w:t>
      </w:r>
    </w:p>
    <w:p w14:paraId="1C413F84" w14:textId="4B482786"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第二十五章：</w:t>
      </w:r>
      <w:r w:rsidR="003D7EA5">
        <w:rPr>
          <w:rFonts w:ascii="宋体" w:hAnsi="宋体" w:hint="eastAsia"/>
          <w:bCs/>
          <w:color w:val="000000"/>
          <w:szCs w:val="21"/>
        </w:rPr>
        <w:t>“</w:t>
      </w:r>
      <w:r w:rsidRPr="00F57F09">
        <w:rPr>
          <w:rFonts w:ascii="宋体" w:hAnsi="宋体" w:hint="eastAsia"/>
          <w:bCs/>
          <w:color w:val="000000"/>
          <w:szCs w:val="21"/>
        </w:rPr>
        <w:t>战间期</w:t>
      </w:r>
      <w:r w:rsidR="003D7EA5">
        <w:rPr>
          <w:rFonts w:ascii="宋体" w:hAnsi="宋体" w:hint="eastAsia"/>
          <w:bCs/>
          <w:color w:val="000000"/>
          <w:szCs w:val="21"/>
        </w:rPr>
        <w:t>”</w:t>
      </w:r>
      <w:r w:rsidRPr="00F57F09">
        <w:rPr>
          <w:rFonts w:ascii="宋体" w:hAnsi="宋体" w:hint="eastAsia"/>
          <w:bCs/>
          <w:color w:val="000000"/>
          <w:szCs w:val="21"/>
        </w:rPr>
        <w:t>的政治与政治暴力</w:t>
      </w:r>
    </w:p>
    <w:p w14:paraId="0E2E7E94" w14:textId="429DCA21"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第二十六章：未来主义、</w:t>
      </w:r>
      <w:r w:rsidR="003D7EA5">
        <w:rPr>
          <w:rFonts w:ascii="宋体" w:hAnsi="宋体" w:hint="eastAsia"/>
          <w:bCs/>
          <w:color w:val="000000"/>
          <w:szCs w:val="21"/>
        </w:rPr>
        <w:t>“</w:t>
      </w:r>
      <w:r w:rsidRPr="00F57F09">
        <w:rPr>
          <w:rFonts w:ascii="宋体" w:hAnsi="宋体" w:hint="eastAsia"/>
          <w:bCs/>
          <w:color w:val="000000"/>
          <w:szCs w:val="21"/>
        </w:rPr>
        <w:t>新人</w:t>
      </w:r>
      <w:r w:rsidR="003D7EA5">
        <w:rPr>
          <w:rFonts w:ascii="宋体" w:hAnsi="宋体" w:hint="eastAsia"/>
          <w:bCs/>
          <w:color w:val="000000"/>
          <w:szCs w:val="21"/>
        </w:rPr>
        <w:t>”</w:t>
      </w:r>
      <w:r w:rsidRPr="00F57F09">
        <w:rPr>
          <w:rFonts w:ascii="宋体" w:hAnsi="宋体" w:hint="eastAsia"/>
          <w:bCs/>
          <w:color w:val="000000"/>
          <w:szCs w:val="21"/>
        </w:rPr>
        <w:t>与乌克兰饥荒</w:t>
      </w:r>
    </w:p>
    <w:p w14:paraId="28BA9C27" w14:textId="0F975B5C"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第二十七章：生存空间幻想、大规模屠杀与游击挑战</w:t>
      </w:r>
    </w:p>
    <w:p w14:paraId="5A676ABC" w14:textId="50477A83"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第二十八章：共产主义、披头士与三月冷杉城堡</w:t>
      </w:r>
    </w:p>
    <w:p w14:paraId="3593C948" w14:textId="50FB3503" w:rsidR="00273E74" w:rsidRPr="00F57F09" w:rsidRDefault="00273E74" w:rsidP="00201EF4">
      <w:pPr>
        <w:jc w:val="center"/>
        <w:rPr>
          <w:rFonts w:ascii="宋体" w:hAnsi="宋体"/>
          <w:bCs/>
          <w:color w:val="000000"/>
          <w:szCs w:val="21"/>
        </w:rPr>
      </w:pPr>
      <w:r w:rsidRPr="00F57F09">
        <w:rPr>
          <w:rFonts w:ascii="宋体" w:hAnsi="宋体" w:hint="eastAsia"/>
          <w:bCs/>
          <w:color w:val="000000"/>
          <w:szCs w:val="21"/>
        </w:rPr>
        <w:t>结语</w:t>
      </w:r>
    </w:p>
    <w:p w14:paraId="5A586ED3" w14:textId="77777777" w:rsidR="00273E74" w:rsidRDefault="00273E74" w:rsidP="00A5385A">
      <w:pPr>
        <w:rPr>
          <w:b/>
          <w:color w:val="000000"/>
          <w:szCs w:val="21"/>
        </w:rPr>
      </w:pPr>
    </w:p>
    <w:p w14:paraId="082DB85F" w14:textId="77777777" w:rsidR="00273E74" w:rsidRPr="00273E74" w:rsidRDefault="00273E74" w:rsidP="00A5385A">
      <w:pPr>
        <w:rPr>
          <w:b/>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B846D" w14:textId="77777777" w:rsidR="00E35768" w:rsidRDefault="00E35768">
      <w:r>
        <w:separator/>
      </w:r>
    </w:p>
  </w:endnote>
  <w:endnote w:type="continuationSeparator" w:id="0">
    <w:p w14:paraId="2DE2E684" w14:textId="77777777" w:rsidR="00E35768" w:rsidRDefault="00E3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ABC4" w14:textId="77777777" w:rsidR="00E35768" w:rsidRDefault="00E35768">
      <w:r>
        <w:separator/>
      </w:r>
    </w:p>
  </w:footnote>
  <w:footnote w:type="continuationSeparator" w:id="0">
    <w:p w14:paraId="4E458768" w14:textId="77777777" w:rsidR="00E35768" w:rsidRDefault="00E3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2"/>
  </w:num>
  <w:num w:numId="11">
    <w:abstractNumId w:val="1"/>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6"/>
  </w:num>
  <w:num w:numId="20">
    <w:abstractNumId w:val="38"/>
  </w:num>
  <w:num w:numId="21">
    <w:abstractNumId w:val="32"/>
  </w:num>
  <w:num w:numId="22">
    <w:abstractNumId w:val="26"/>
  </w:num>
  <w:num w:numId="23">
    <w:abstractNumId w:val="3"/>
  </w:num>
  <w:num w:numId="24">
    <w:abstractNumId w:val="7"/>
  </w:num>
  <w:num w:numId="25">
    <w:abstractNumId w:val="33"/>
  </w:num>
  <w:num w:numId="26">
    <w:abstractNumId w:val="4"/>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8"/>
  </w:num>
  <w:num w:numId="35">
    <w:abstractNumId w:val="12"/>
  </w:num>
  <w:num w:numId="36">
    <w:abstractNumId w:val="18"/>
  </w:num>
  <w:num w:numId="37">
    <w:abstractNumId w:val="10"/>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4788"/>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1EF4"/>
    <w:rsid w:val="00203F21"/>
    <w:rsid w:val="00206123"/>
    <w:rsid w:val="00206785"/>
    <w:rsid w:val="002068EA"/>
    <w:rsid w:val="0021330A"/>
    <w:rsid w:val="00215BF8"/>
    <w:rsid w:val="00220E63"/>
    <w:rsid w:val="002220A9"/>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3E74"/>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719"/>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D7EA5"/>
    <w:rsid w:val="003E1932"/>
    <w:rsid w:val="003F4DC2"/>
    <w:rsid w:val="003F4DED"/>
    <w:rsid w:val="003F745B"/>
    <w:rsid w:val="00400B5C"/>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826CF"/>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AA2"/>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9405E"/>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4B4C"/>
    <w:rsid w:val="00B96C72"/>
    <w:rsid w:val="00B97B30"/>
    <w:rsid w:val="00BA0497"/>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6"/>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85A49"/>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5768"/>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57F09"/>
    <w:rsid w:val="00F66841"/>
    <w:rsid w:val="00F668A4"/>
    <w:rsid w:val="00F66B6F"/>
    <w:rsid w:val="00F76AFD"/>
    <w:rsid w:val="00F80E8A"/>
    <w:rsid w:val="00F97391"/>
    <w:rsid w:val="00FA2346"/>
    <w:rsid w:val="00FA2810"/>
    <w:rsid w:val="00FB1677"/>
    <w:rsid w:val="00FB2044"/>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C9DC-0A08-4C8F-AD77-2E3097FF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1139</Words>
  <Characters>1368</Characters>
  <Application>Microsoft Office Word</Application>
  <DocSecurity>0</DocSecurity>
  <Lines>80</Lines>
  <Paragraphs>89</Paragraphs>
  <ScaleCrop>false</ScaleCrop>
  <Company>2ndSpAcE</Company>
  <LinksUpToDate>false</LinksUpToDate>
  <CharactersWithSpaces>2418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2026-01-23T01:38:00Z</dcterms:created>
  <dcterms:modified xsi:type="dcterms:W3CDTF">2026-01-23T04:24:00Z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