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6A593C43" w:rsidR="00774233" w:rsidRPr="00774233" w:rsidRDefault="00C60D6D"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2EBAC4BE">
            <wp:simplePos x="0" y="0"/>
            <wp:positionH relativeFrom="margin">
              <wp:align>right</wp:align>
            </wp:positionH>
            <wp:positionV relativeFrom="paragraph">
              <wp:posOffset>6350</wp:posOffset>
            </wp:positionV>
            <wp:extent cx="1409700" cy="211455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21145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154D23" w:rsidRPr="00154D23">
        <w:rPr>
          <w:b/>
          <w:bCs/>
          <w:color w:val="000000"/>
          <w:szCs w:val="21"/>
        </w:rPr>
        <w:t>姿态的艺术</w:t>
      </w:r>
      <w:r w:rsidR="00154D23">
        <w:rPr>
          <w:rFonts w:hint="eastAsia"/>
          <w:b/>
          <w:bCs/>
          <w:color w:val="000000"/>
          <w:szCs w:val="21"/>
        </w:rPr>
        <w:t>：</w:t>
      </w:r>
      <w:r w:rsidR="00154D23" w:rsidRPr="00154D23">
        <w:rPr>
          <w:b/>
          <w:bCs/>
          <w:color w:val="000000"/>
          <w:szCs w:val="21"/>
        </w:rPr>
        <w:t>古典与文艺复兴时期的表达</w:t>
      </w:r>
      <w:r w:rsidR="003C4C2E" w:rsidRPr="003C4C2E">
        <w:rPr>
          <w:rFonts w:hint="eastAsia"/>
          <w:b/>
          <w:bCs/>
          <w:color w:val="000000"/>
          <w:szCs w:val="21"/>
        </w:rPr>
        <w:t>》</w:t>
      </w:r>
    </w:p>
    <w:p w14:paraId="0A99D036" w14:textId="7F0B1F20" w:rsidR="00E8628C" w:rsidRPr="00C60D6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766D6" w:rsidRPr="006766D6">
        <w:rPr>
          <w:b/>
          <w:bCs/>
          <w:color w:val="000000"/>
          <w:szCs w:val="21"/>
        </w:rPr>
        <w:t>THE ART OF GESTURE: Classical and Renaissance Expressions</w:t>
      </w:r>
    </w:p>
    <w:p w14:paraId="39B7E419" w14:textId="585F3BB0"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6766D6" w:rsidRPr="006766D6">
        <w:rPr>
          <w:b/>
          <w:bCs/>
          <w:color w:val="000000"/>
          <w:szCs w:val="21"/>
        </w:rPr>
        <w:t>Andrew Benjamin</w:t>
      </w:r>
      <w:hyperlink r:id="rId9" w:history="1"/>
    </w:p>
    <w:p w14:paraId="68A256E0" w14:textId="7056186D" w:rsidR="00F1652E"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2458B" w:rsidRPr="0042458B">
        <w:rPr>
          <w:b/>
          <w:bCs/>
          <w:color w:val="000000"/>
          <w:szCs w:val="21"/>
        </w:rPr>
        <w:t>Edinburgh University Press</w:t>
      </w:r>
    </w:p>
    <w:p w14:paraId="1421F214" w14:textId="6F6C17AC"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39EECF5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3C5395" w:rsidRPr="003C5395">
        <w:rPr>
          <w:b/>
          <w:bCs/>
          <w:color w:val="000000"/>
          <w:szCs w:val="21"/>
        </w:rPr>
        <w:t>256</w:t>
      </w:r>
      <w:r w:rsidR="006B7CF3">
        <w:rPr>
          <w:rFonts w:hint="eastAsia"/>
          <w:b/>
          <w:bCs/>
          <w:color w:val="000000"/>
          <w:szCs w:val="21"/>
        </w:rPr>
        <w:t>页</w:t>
      </w:r>
    </w:p>
    <w:p w14:paraId="31380F95" w14:textId="13FF8AB1"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6B7CF3">
        <w:rPr>
          <w:rFonts w:hint="eastAsia"/>
          <w:b/>
          <w:bCs/>
          <w:color w:val="000000"/>
          <w:szCs w:val="21"/>
        </w:rPr>
        <w:t>4</w:t>
      </w:r>
      <w:r w:rsidR="00D3372E">
        <w:rPr>
          <w:rFonts w:hint="eastAsia"/>
          <w:b/>
          <w:bCs/>
          <w:color w:val="000000"/>
          <w:szCs w:val="21"/>
        </w:rPr>
        <w:t>月</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336C741A" w:rsidR="00774233" w:rsidRPr="00774233" w:rsidRDefault="00774233" w:rsidP="00774233">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6BE8C35B"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C5395">
        <w:rPr>
          <w:rFonts w:hint="eastAsia"/>
          <w:b/>
          <w:bCs/>
          <w:szCs w:val="21"/>
        </w:rPr>
        <w:t>艺术研究</w:t>
      </w:r>
    </w:p>
    <w:p w14:paraId="19807F5D" w14:textId="0BAFE159" w:rsidR="00BA277E" w:rsidRDefault="00BA277E" w:rsidP="006E568B">
      <w:pPr>
        <w:rPr>
          <w:color w:val="000000"/>
          <w:szCs w:val="21"/>
        </w:rPr>
      </w:pPr>
    </w:p>
    <w:p w14:paraId="0BAA2C6A" w14:textId="77777777" w:rsidR="00FA6345" w:rsidRDefault="00FA6345" w:rsidP="006E568B">
      <w:pPr>
        <w:rPr>
          <w:color w:val="000000"/>
          <w:szCs w:val="21"/>
        </w:rPr>
      </w:pPr>
    </w:p>
    <w:p w14:paraId="16D5A04E" w14:textId="77777777" w:rsidR="00690F32" w:rsidRDefault="00690F32" w:rsidP="00690F32">
      <w:pPr>
        <w:rPr>
          <w:b/>
          <w:bCs/>
          <w:color w:val="000000"/>
          <w:szCs w:val="21"/>
        </w:rPr>
      </w:pPr>
      <w:r w:rsidRPr="000F7F44">
        <w:rPr>
          <w:rFonts w:hint="eastAsia"/>
          <w:b/>
          <w:bCs/>
          <w:color w:val="000000"/>
          <w:szCs w:val="21"/>
        </w:rPr>
        <w:t>营销亮点：</w:t>
      </w:r>
    </w:p>
    <w:p w14:paraId="1C737F05" w14:textId="77777777" w:rsidR="00690F32" w:rsidRDefault="00690F32" w:rsidP="00690F32">
      <w:pPr>
        <w:rPr>
          <w:b/>
          <w:bCs/>
          <w:color w:val="000000"/>
          <w:szCs w:val="21"/>
        </w:rPr>
      </w:pPr>
    </w:p>
    <w:p w14:paraId="15DC9C84" w14:textId="1CB64820" w:rsidR="00690F32" w:rsidRPr="003C5395" w:rsidRDefault="007B604B" w:rsidP="003C5395">
      <w:pPr>
        <w:ind w:firstLineChars="200" w:firstLine="420"/>
        <w:rPr>
          <w:rFonts w:hint="eastAsia"/>
          <w:bCs/>
          <w:color w:val="000000"/>
          <w:szCs w:val="21"/>
        </w:rPr>
      </w:pPr>
      <w:r w:rsidRPr="003C5395">
        <w:rPr>
          <w:bCs/>
          <w:color w:val="000000"/>
          <w:szCs w:val="21"/>
        </w:rPr>
        <w:t>一种有别于美学的艺术哲学</w:t>
      </w:r>
      <w:r w:rsidRPr="003C5395">
        <w:rPr>
          <w:bCs/>
          <w:color w:val="000000"/>
          <w:szCs w:val="21"/>
        </w:rPr>
        <w:t>——</w:t>
      </w:r>
      <w:r w:rsidRPr="003C5395">
        <w:rPr>
          <w:bCs/>
          <w:color w:val="000000"/>
          <w:szCs w:val="21"/>
        </w:rPr>
        <w:t>真正从哲学层面对艺术作品细部展开深入探讨</w:t>
      </w:r>
    </w:p>
    <w:p w14:paraId="4B6D222F" w14:textId="77777777" w:rsidR="00690F32" w:rsidRPr="003C5395" w:rsidRDefault="00690F32" w:rsidP="00690F32">
      <w:pPr>
        <w:rPr>
          <w:bCs/>
          <w:color w:val="000000"/>
          <w:szCs w:val="21"/>
        </w:rPr>
      </w:pPr>
    </w:p>
    <w:p w14:paraId="34C541B0" w14:textId="6B1EEEA6" w:rsidR="00690F32" w:rsidRPr="003C5395" w:rsidRDefault="007B604B" w:rsidP="00690F32">
      <w:pPr>
        <w:pStyle w:val="ac"/>
        <w:numPr>
          <w:ilvl w:val="0"/>
          <w:numId w:val="42"/>
        </w:numPr>
        <w:ind w:firstLineChars="0"/>
        <w:rPr>
          <w:bCs/>
          <w:color w:val="000000"/>
          <w:szCs w:val="21"/>
        </w:rPr>
      </w:pPr>
      <w:r w:rsidRPr="003C5395">
        <w:rPr>
          <w:bCs/>
          <w:color w:val="000000"/>
          <w:szCs w:val="21"/>
        </w:rPr>
        <w:t>对罗索</w:t>
      </w:r>
      <w:r w:rsidRPr="003C5395">
        <w:rPr>
          <w:bCs/>
          <w:color w:val="000000"/>
          <w:szCs w:val="21"/>
        </w:rPr>
        <w:t>·</w:t>
      </w:r>
      <w:r w:rsidRPr="003C5395">
        <w:rPr>
          <w:bCs/>
          <w:color w:val="000000"/>
          <w:szCs w:val="21"/>
        </w:rPr>
        <w:t>菲奥伦蒂诺（</w:t>
      </w:r>
      <w:r w:rsidRPr="003C5395">
        <w:rPr>
          <w:bCs/>
          <w:color w:val="000000"/>
          <w:szCs w:val="21"/>
        </w:rPr>
        <w:t xml:space="preserve">Rosso </w:t>
      </w:r>
      <w:proofErr w:type="spellStart"/>
      <w:r w:rsidRPr="003C5395">
        <w:rPr>
          <w:bCs/>
          <w:color w:val="000000"/>
          <w:szCs w:val="21"/>
        </w:rPr>
        <w:t>Fiorentino</w:t>
      </w:r>
      <w:proofErr w:type="spellEnd"/>
      <w:r w:rsidRPr="003C5395">
        <w:rPr>
          <w:bCs/>
          <w:color w:val="000000"/>
          <w:szCs w:val="21"/>
        </w:rPr>
        <w:t>）和皮耶罗</w:t>
      </w:r>
      <w:r w:rsidRPr="003C5395">
        <w:rPr>
          <w:bCs/>
          <w:color w:val="000000"/>
          <w:szCs w:val="21"/>
        </w:rPr>
        <w:t>·</w:t>
      </w:r>
      <w:r w:rsidRPr="003C5395">
        <w:rPr>
          <w:bCs/>
          <w:color w:val="000000"/>
          <w:szCs w:val="21"/>
        </w:rPr>
        <w:t>德拉</w:t>
      </w:r>
      <w:r w:rsidRPr="003C5395">
        <w:rPr>
          <w:bCs/>
          <w:color w:val="000000"/>
          <w:szCs w:val="21"/>
        </w:rPr>
        <w:t>·</w:t>
      </w:r>
      <w:r w:rsidRPr="003C5395">
        <w:rPr>
          <w:bCs/>
          <w:color w:val="000000"/>
          <w:szCs w:val="21"/>
        </w:rPr>
        <w:t>弗朗切斯卡（</w:t>
      </w:r>
      <w:proofErr w:type="spellStart"/>
      <w:r w:rsidRPr="003C5395">
        <w:rPr>
          <w:bCs/>
          <w:color w:val="000000"/>
          <w:szCs w:val="21"/>
        </w:rPr>
        <w:t>Piero</w:t>
      </w:r>
      <w:proofErr w:type="spellEnd"/>
      <w:r w:rsidRPr="003C5395">
        <w:rPr>
          <w:bCs/>
          <w:color w:val="000000"/>
          <w:szCs w:val="21"/>
        </w:rPr>
        <w:t xml:space="preserve"> </w:t>
      </w:r>
      <w:proofErr w:type="spellStart"/>
      <w:r w:rsidRPr="003C5395">
        <w:rPr>
          <w:bCs/>
          <w:color w:val="000000"/>
          <w:szCs w:val="21"/>
        </w:rPr>
        <w:t>della</w:t>
      </w:r>
      <w:proofErr w:type="spellEnd"/>
      <w:r w:rsidRPr="003C5395">
        <w:rPr>
          <w:bCs/>
          <w:color w:val="000000"/>
          <w:szCs w:val="21"/>
        </w:rPr>
        <w:t xml:space="preserve"> Francesca</w:t>
      </w:r>
      <w:r w:rsidRPr="003C5395">
        <w:rPr>
          <w:bCs/>
          <w:color w:val="000000"/>
          <w:szCs w:val="21"/>
        </w:rPr>
        <w:t>）提出原创性解读</w:t>
      </w:r>
    </w:p>
    <w:p w14:paraId="0E75C3E6" w14:textId="77777777" w:rsidR="00690F32" w:rsidRPr="003C5395" w:rsidRDefault="00690F32" w:rsidP="00690F32">
      <w:pPr>
        <w:pStyle w:val="ac"/>
        <w:ind w:left="440" w:firstLineChars="0" w:firstLine="0"/>
        <w:rPr>
          <w:bCs/>
          <w:color w:val="000000"/>
          <w:szCs w:val="21"/>
        </w:rPr>
      </w:pPr>
    </w:p>
    <w:p w14:paraId="56E9028E" w14:textId="224B4032" w:rsidR="00690F32" w:rsidRDefault="007B604B" w:rsidP="00690F32">
      <w:pPr>
        <w:pStyle w:val="ac"/>
        <w:numPr>
          <w:ilvl w:val="0"/>
          <w:numId w:val="42"/>
        </w:numPr>
        <w:ind w:firstLineChars="0"/>
        <w:rPr>
          <w:bCs/>
          <w:color w:val="000000"/>
          <w:szCs w:val="21"/>
        </w:rPr>
      </w:pPr>
      <w:r w:rsidRPr="003C5395">
        <w:rPr>
          <w:bCs/>
          <w:color w:val="000000"/>
          <w:szCs w:val="21"/>
        </w:rPr>
        <w:t>借助瓦尔特</w:t>
      </w:r>
      <w:r w:rsidRPr="003C5395">
        <w:rPr>
          <w:bCs/>
          <w:color w:val="000000"/>
          <w:szCs w:val="21"/>
        </w:rPr>
        <w:t>·</w:t>
      </w:r>
      <w:r w:rsidRPr="003C5395">
        <w:rPr>
          <w:bCs/>
          <w:color w:val="000000"/>
          <w:szCs w:val="21"/>
        </w:rPr>
        <w:t>本雅明（</w:t>
      </w:r>
      <w:r w:rsidRPr="003C5395">
        <w:rPr>
          <w:bCs/>
          <w:color w:val="000000"/>
          <w:szCs w:val="21"/>
        </w:rPr>
        <w:t>Walter Benjamin</w:t>
      </w:r>
      <w:r w:rsidRPr="003C5395">
        <w:rPr>
          <w:bCs/>
          <w:color w:val="000000"/>
          <w:szCs w:val="21"/>
        </w:rPr>
        <w:t>）的思想，发展出对阿甘本（</w:t>
      </w:r>
      <w:proofErr w:type="spellStart"/>
      <w:r w:rsidRPr="003C5395">
        <w:rPr>
          <w:bCs/>
          <w:color w:val="000000"/>
          <w:szCs w:val="21"/>
        </w:rPr>
        <w:t>Agamben</w:t>
      </w:r>
      <w:proofErr w:type="spellEnd"/>
      <w:r w:rsidRPr="003C5395">
        <w:rPr>
          <w:bCs/>
          <w:color w:val="000000"/>
          <w:szCs w:val="21"/>
        </w:rPr>
        <w:t>）和瓦尔堡（</w:t>
      </w:r>
      <w:r w:rsidRPr="003C5395">
        <w:rPr>
          <w:bCs/>
          <w:color w:val="000000"/>
          <w:szCs w:val="21"/>
        </w:rPr>
        <w:t>Warburg</w:t>
      </w:r>
      <w:r w:rsidRPr="003C5395">
        <w:rPr>
          <w:bCs/>
          <w:color w:val="000000"/>
          <w:szCs w:val="21"/>
        </w:rPr>
        <w:t>）姿态理论的批判性回应</w:t>
      </w:r>
    </w:p>
    <w:p w14:paraId="7E1D18AB" w14:textId="77777777" w:rsidR="003C5395" w:rsidRPr="003C5395" w:rsidRDefault="003C5395" w:rsidP="003C5395">
      <w:pPr>
        <w:pStyle w:val="ac"/>
        <w:rPr>
          <w:rFonts w:hint="eastAsia"/>
          <w:bCs/>
          <w:color w:val="000000"/>
          <w:szCs w:val="21"/>
        </w:rPr>
      </w:pPr>
    </w:p>
    <w:p w14:paraId="72F6B8D1" w14:textId="1D33D38F" w:rsidR="003C5395" w:rsidRDefault="003C5395" w:rsidP="003C5395">
      <w:pPr>
        <w:pStyle w:val="ac"/>
        <w:numPr>
          <w:ilvl w:val="0"/>
          <w:numId w:val="42"/>
        </w:numPr>
        <w:ind w:firstLineChars="0"/>
        <w:rPr>
          <w:bCs/>
          <w:color w:val="000000"/>
          <w:szCs w:val="21"/>
        </w:rPr>
      </w:pPr>
      <w:r w:rsidRPr="003C5395">
        <w:rPr>
          <w:rFonts w:hint="eastAsia"/>
          <w:bCs/>
          <w:color w:val="000000"/>
          <w:szCs w:val="21"/>
        </w:rPr>
        <w:t>艺术哲学的阐述</w:t>
      </w:r>
    </w:p>
    <w:p w14:paraId="26E637FE" w14:textId="77777777" w:rsidR="003C5395" w:rsidRPr="003C5395" w:rsidRDefault="003C5395" w:rsidP="003C5395">
      <w:pPr>
        <w:pStyle w:val="ac"/>
        <w:rPr>
          <w:rFonts w:hint="eastAsia"/>
          <w:bCs/>
          <w:color w:val="000000"/>
          <w:szCs w:val="21"/>
        </w:rPr>
      </w:pPr>
    </w:p>
    <w:p w14:paraId="6847D5E9" w14:textId="7F90BA92" w:rsidR="003C5395" w:rsidRPr="003C5395" w:rsidRDefault="003C5395" w:rsidP="003C5395">
      <w:pPr>
        <w:pStyle w:val="ac"/>
        <w:numPr>
          <w:ilvl w:val="0"/>
          <w:numId w:val="42"/>
        </w:numPr>
        <w:ind w:firstLineChars="0"/>
        <w:rPr>
          <w:bCs/>
          <w:color w:val="000000"/>
          <w:szCs w:val="21"/>
        </w:rPr>
      </w:pPr>
      <w:r w:rsidRPr="003C5395">
        <w:rPr>
          <w:bCs/>
          <w:color w:val="000000"/>
          <w:szCs w:val="21"/>
        </w:rPr>
        <w:t>推进了</w:t>
      </w:r>
      <w:r w:rsidRPr="003C5395">
        <w:rPr>
          <w:rFonts w:hint="eastAsia"/>
          <w:bCs/>
          <w:color w:val="000000"/>
          <w:szCs w:val="21"/>
        </w:rPr>
        <w:t>“</w:t>
      </w:r>
      <w:r w:rsidRPr="003C5395">
        <w:rPr>
          <w:bCs/>
          <w:color w:val="000000"/>
          <w:szCs w:val="21"/>
        </w:rPr>
        <w:t>姿态</w:t>
      </w:r>
      <w:r w:rsidRPr="003C5395">
        <w:rPr>
          <w:rFonts w:hint="eastAsia"/>
          <w:bCs/>
          <w:color w:val="000000"/>
          <w:szCs w:val="21"/>
        </w:rPr>
        <w:t>”</w:t>
      </w:r>
      <w:r w:rsidRPr="003C5395">
        <w:rPr>
          <w:bCs/>
          <w:color w:val="000000"/>
          <w:szCs w:val="21"/>
        </w:rPr>
        <w:t>这一概念的原创性建构</w:t>
      </w:r>
    </w:p>
    <w:p w14:paraId="24BC36BA" w14:textId="77777777" w:rsidR="00FA6345" w:rsidRPr="0039755A" w:rsidRDefault="00FA6345" w:rsidP="00FA6345">
      <w:pPr>
        <w:rPr>
          <w:b/>
          <w:bCs/>
          <w:color w:val="000000"/>
          <w:szCs w:val="21"/>
        </w:rPr>
      </w:pPr>
    </w:p>
    <w:p w14:paraId="15C95972" w14:textId="77777777" w:rsidR="00FA6345" w:rsidRPr="000F7F44" w:rsidRDefault="00FA6345" w:rsidP="00FA6345">
      <w:pPr>
        <w:rPr>
          <w:b/>
          <w:bCs/>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14A47746" w14:textId="77777777" w:rsidR="005A4D6A" w:rsidRPr="005A4D6A" w:rsidRDefault="005A4D6A" w:rsidP="00F43572">
      <w:pPr>
        <w:rPr>
          <w:bCs/>
          <w:color w:val="000000"/>
          <w:szCs w:val="21"/>
        </w:rPr>
      </w:pPr>
    </w:p>
    <w:p w14:paraId="15815978" w14:textId="39EA0630" w:rsidR="007B604B" w:rsidRDefault="007B604B" w:rsidP="007B604B">
      <w:pPr>
        <w:ind w:firstLineChars="200" w:firstLine="420"/>
        <w:rPr>
          <w:bCs/>
          <w:color w:val="000000"/>
          <w:szCs w:val="21"/>
        </w:rPr>
      </w:pPr>
      <w:r w:rsidRPr="007B604B">
        <w:rPr>
          <w:bCs/>
          <w:color w:val="000000"/>
          <w:szCs w:val="21"/>
        </w:rPr>
        <w:t>安德鲁</w:t>
      </w:r>
      <w:r w:rsidRPr="007B604B">
        <w:rPr>
          <w:bCs/>
          <w:color w:val="000000"/>
          <w:szCs w:val="21"/>
        </w:rPr>
        <w:t>·</w:t>
      </w:r>
      <w:r w:rsidRPr="007B604B">
        <w:rPr>
          <w:bCs/>
          <w:color w:val="000000"/>
          <w:szCs w:val="21"/>
        </w:rPr>
        <w:t>本雅明（</w:t>
      </w:r>
      <w:r w:rsidRPr="007B604B">
        <w:rPr>
          <w:bCs/>
          <w:color w:val="000000"/>
          <w:szCs w:val="21"/>
        </w:rPr>
        <w:t>Andrew Benjamin</w:t>
      </w:r>
      <w:r w:rsidRPr="007B604B">
        <w:rPr>
          <w:bCs/>
          <w:color w:val="000000"/>
          <w:szCs w:val="21"/>
        </w:rPr>
        <w:t>）通过</w:t>
      </w:r>
      <w:r w:rsidR="00154D23">
        <w:rPr>
          <w:rFonts w:hint="eastAsia"/>
          <w:bCs/>
          <w:color w:val="000000"/>
          <w:szCs w:val="21"/>
        </w:rPr>
        <w:t>“</w:t>
      </w:r>
      <w:r w:rsidRPr="007B604B">
        <w:rPr>
          <w:bCs/>
          <w:color w:val="000000"/>
          <w:szCs w:val="21"/>
        </w:rPr>
        <w:t>姿态</w:t>
      </w:r>
      <w:r w:rsidR="00154D23">
        <w:rPr>
          <w:rFonts w:hint="eastAsia"/>
          <w:bCs/>
          <w:color w:val="000000"/>
          <w:szCs w:val="21"/>
        </w:rPr>
        <w:t>”</w:t>
      </w:r>
      <w:r w:rsidRPr="007B604B">
        <w:rPr>
          <w:bCs/>
          <w:color w:val="000000"/>
          <w:szCs w:val="21"/>
        </w:rPr>
        <w:t>这一概念来处理哲学与艺术史之间的关系。他以姿态为核心，批判性地与瓦尔特</w:t>
      </w:r>
      <w:r w:rsidRPr="007B604B">
        <w:rPr>
          <w:bCs/>
          <w:color w:val="000000"/>
          <w:szCs w:val="21"/>
        </w:rPr>
        <w:t>·</w:t>
      </w:r>
      <w:r w:rsidRPr="007B604B">
        <w:rPr>
          <w:bCs/>
          <w:color w:val="000000"/>
          <w:szCs w:val="21"/>
        </w:rPr>
        <w:t>本雅明（</w:t>
      </w:r>
      <w:r w:rsidRPr="007B604B">
        <w:rPr>
          <w:bCs/>
          <w:color w:val="000000"/>
          <w:szCs w:val="21"/>
        </w:rPr>
        <w:t>Walter Benjamin</w:t>
      </w:r>
      <w:r w:rsidRPr="007B604B">
        <w:rPr>
          <w:bCs/>
          <w:color w:val="000000"/>
          <w:szCs w:val="21"/>
        </w:rPr>
        <w:t>）、阿比</w:t>
      </w:r>
      <w:r w:rsidRPr="007B604B">
        <w:rPr>
          <w:bCs/>
          <w:color w:val="000000"/>
          <w:szCs w:val="21"/>
        </w:rPr>
        <w:t>·</w:t>
      </w:r>
      <w:r w:rsidRPr="007B604B">
        <w:rPr>
          <w:bCs/>
          <w:color w:val="000000"/>
          <w:szCs w:val="21"/>
        </w:rPr>
        <w:t>瓦尔堡（</w:t>
      </w:r>
      <w:r w:rsidRPr="007B604B">
        <w:rPr>
          <w:bCs/>
          <w:color w:val="000000"/>
          <w:szCs w:val="21"/>
        </w:rPr>
        <w:t>Aby Warburg</w:t>
      </w:r>
      <w:r w:rsidRPr="007B604B">
        <w:rPr>
          <w:bCs/>
          <w:color w:val="000000"/>
          <w:szCs w:val="21"/>
        </w:rPr>
        <w:t>）和乔治奥</w:t>
      </w:r>
      <w:r w:rsidRPr="007B604B">
        <w:rPr>
          <w:bCs/>
          <w:color w:val="000000"/>
          <w:szCs w:val="21"/>
        </w:rPr>
        <w:t>·</w:t>
      </w:r>
      <w:r w:rsidRPr="007B604B">
        <w:rPr>
          <w:bCs/>
          <w:color w:val="000000"/>
          <w:szCs w:val="21"/>
        </w:rPr>
        <w:t>阿甘本（</w:t>
      </w:r>
      <w:r w:rsidRPr="007B604B">
        <w:rPr>
          <w:bCs/>
          <w:color w:val="000000"/>
          <w:szCs w:val="21"/>
        </w:rPr>
        <w:t>Giorgio Agamben</w:t>
      </w:r>
      <w:r w:rsidRPr="007B604B">
        <w:rPr>
          <w:bCs/>
          <w:color w:val="000000"/>
          <w:szCs w:val="21"/>
        </w:rPr>
        <w:t>）展开对话，由此对艺术中</w:t>
      </w:r>
      <w:r>
        <w:rPr>
          <w:rFonts w:hint="eastAsia"/>
          <w:bCs/>
          <w:color w:val="000000"/>
          <w:szCs w:val="21"/>
        </w:rPr>
        <w:t>“</w:t>
      </w:r>
      <w:r w:rsidRPr="007B604B">
        <w:rPr>
          <w:bCs/>
          <w:color w:val="000000"/>
          <w:szCs w:val="21"/>
        </w:rPr>
        <w:t>意义</w:t>
      </w:r>
      <w:r>
        <w:rPr>
          <w:rFonts w:hint="eastAsia"/>
          <w:bCs/>
          <w:color w:val="000000"/>
          <w:szCs w:val="21"/>
        </w:rPr>
        <w:t>”</w:t>
      </w:r>
      <w:r w:rsidRPr="007B604B">
        <w:rPr>
          <w:bCs/>
          <w:color w:val="000000"/>
          <w:szCs w:val="21"/>
        </w:rPr>
        <w:t>这一经典问题提出了新的哲学介入，同时也回应了政治神学为艺术理论带来的新视角。</w:t>
      </w:r>
    </w:p>
    <w:p w14:paraId="0B5D01B7" w14:textId="77777777" w:rsidR="007B604B" w:rsidRPr="007B604B" w:rsidRDefault="007B604B" w:rsidP="007B604B">
      <w:pPr>
        <w:ind w:firstLineChars="200" w:firstLine="420"/>
        <w:rPr>
          <w:bCs/>
          <w:color w:val="000000"/>
          <w:szCs w:val="21"/>
        </w:rPr>
      </w:pPr>
    </w:p>
    <w:p w14:paraId="0B1A31D5" w14:textId="2C4A2FEC" w:rsidR="003C4C2E" w:rsidRPr="007B604B" w:rsidRDefault="007B604B" w:rsidP="00154D23">
      <w:pPr>
        <w:ind w:firstLineChars="200" w:firstLine="420"/>
        <w:rPr>
          <w:bCs/>
          <w:color w:val="000000"/>
          <w:szCs w:val="21"/>
        </w:rPr>
      </w:pPr>
      <w:r w:rsidRPr="007B604B">
        <w:rPr>
          <w:bCs/>
          <w:color w:val="000000"/>
          <w:szCs w:val="21"/>
        </w:rPr>
        <w:t>本雅明将姿态作为持续的理论定向点，使艺术作品及其细部始终处于中心位置。书中对多梅尼科</w:t>
      </w:r>
      <w:r w:rsidRPr="007B604B">
        <w:rPr>
          <w:bCs/>
          <w:color w:val="000000"/>
          <w:szCs w:val="21"/>
        </w:rPr>
        <w:t>·</w:t>
      </w:r>
      <w:r w:rsidRPr="007B604B">
        <w:rPr>
          <w:bCs/>
          <w:color w:val="000000"/>
          <w:szCs w:val="21"/>
        </w:rPr>
        <w:t>吉兰达约（</w:t>
      </w:r>
      <w:r w:rsidRPr="007B604B">
        <w:rPr>
          <w:bCs/>
          <w:color w:val="000000"/>
          <w:szCs w:val="21"/>
        </w:rPr>
        <w:t>Domenico Ghirlandaio</w:t>
      </w:r>
      <w:r w:rsidRPr="007B604B">
        <w:rPr>
          <w:bCs/>
          <w:color w:val="000000"/>
          <w:szCs w:val="21"/>
        </w:rPr>
        <w:t>）、罗索</w:t>
      </w:r>
      <w:r w:rsidRPr="007B604B">
        <w:rPr>
          <w:bCs/>
          <w:color w:val="000000"/>
          <w:szCs w:val="21"/>
        </w:rPr>
        <w:t>·</w:t>
      </w:r>
      <w:r w:rsidRPr="007B604B">
        <w:rPr>
          <w:bCs/>
          <w:color w:val="000000"/>
          <w:szCs w:val="21"/>
        </w:rPr>
        <w:t>菲奥伦蒂诺（</w:t>
      </w:r>
      <w:r w:rsidRPr="007B604B">
        <w:rPr>
          <w:bCs/>
          <w:color w:val="000000"/>
          <w:szCs w:val="21"/>
        </w:rPr>
        <w:t>Rosso Fiorentino</w:t>
      </w:r>
      <w:r w:rsidRPr="007B604B">
        <w:rPr>
          <w:bCs/>
          <w:color w:val="000000"/>
          <w:szCs w:val="21"/>
        </w:rPr>
        <w:t>）和皮耶罗</w:t>
      </w:r>
      <w:r w:rsidRPr="007B604B">
        <w:rPr>
          <w:bCs/>
          <w:color w:val="000000"/>
          <w:szCs w:val="21"/>
        </w:rPr>
        <w:t>·</w:t>
      </w:r>
      <w:r w:rsidRPr="007B604B">
        <w:rPr>
          <w:bCs/>
          <w:color w:val="000000"/>
          <w:szCs w:val="21"/>
        </w:rPr>
        <w:t>德</w:t>
      </w:r>
      <w:r w:rsidRPr="007B604B">
        <w:rPr>
          <w:bCs/>
          <w:color w:val="000000"/>
          <w:szCs w:val="21"/>
        </w:rPr>
        <w:lastRenderedPageBreak/>
        <w:t>拉</w:t>
      </w:r>
      <w:r w:rsidRPr="007B604B">
        <w:rPr>
          <w:bCs/>
          <w:color w:val="000000"/>
          <w:szCs w:val="21"/>
        </w:rPr>
        <w:t>·</w:t>
      </w:r>
      <w:r w:rsidRPr="007B604B">
        <w:rPr>
          <w:bCs/>
          <w:color w:val="000000"/>
          <w:szCs w:val="21"/>
        </w:rPr>
        <w:t>弗朗切斯卡（</w:t>
      </w:r>
      <w:r w:rsidRPr="007B604B">
        <w:rPr>
          <w:bCs/>
          <w:color w:val="000000"/>
          <w:szCs w:val="21"/>
        </w:rPr>
        <w:t>Piero della Francesca</w:t>
      </w:r>
      <w:r w:rsidRPr="007B604B">
        <w:rPr>
          <w:bCs/>
          <w:color w:val="000000"/>
          <w:szCs w:val="21"/>
        </w:rPr>
        <w:t>）的原创性解读表明，基督教政治神学在这些艺术作品内部具有现实的运作性存在。贯穿全书的一个关键主题，是艺术作品中的时间</w:t>
      </w:r>
      <w:r>
        <w:rPr>
          <w:rFonts w:hint="eastAsia"/>
          <w:bCs/>
          <w:color w:val="000000"/>
          <w:szCs w:val="21"/>
        </w:rPr>
        <w:t>性</w:t>
      </w:r>
      <w:r w:rsidRPr="007B604B">
        <w:rPr>
          <w:bCs/>
          <w:color w:val="000000"/>
          <w:szCs w:val="21"/>
        </w:rPr>
        <w:t>问题，以及如何从哲学上理解艺术史和艺术中的历史再现问题。</w:t>
      </w:r>
    </w:p>
    <w:p w14:paraId="66F6CCCF" w14:textId="77777777" w:rsidR="005A4D6A" w:rsidRDefault="005A4D6A" w:rsidP="008167E8">
      <w:pPr>
        <w:rPr>
          <w:bCs/>
          <w:color w:val="000000"/>
          <w:szCs w:val="21"/>
        </w:rPr>
      </w:pPr>
    </w:p>
    <w:p w14:paraId="318D2F48" w14:textId="77777777" w:rsidR="00C81704" w:rsidRDefault="00C81704"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14124A5B" w14:textId="4354A5D2" w:rsidR="00C12D79" w:rsidRDefault="0040435C" w:rsidP="00C12D79">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3EB4945F" w14:textId="0CD3C43F" w:rsidR="007B604B" w:rsidRPr="007B604B" w:rsidRDefault="007B604B" w:rsidP="007B604B">
      <w:pPr>
        <w:ind w:firstLineChars="200" w:firstLine="422"/>
        <w:rPr>
          <w:noProof/>
        </w:rPr>
      </w:pPr>
      <w:r w:rsidRPr="007B604B">
        <w:rPr>
          <w:b/>
          <w:bCs/>
          <w:noProof/>
        </w:rPr>
        <w:t>安德鲁</w:t>
      </w:r>
      <w:r w:rsidRPr="007B604B">
        <w:rPr>
          <w:b/>
          <w:bCs/>
          <w:noProof/>
        </w:rPr>
        <w:t>·</w:t>
      </w:r>
      <w:r w:rsidRPr="007B604B">
        <w:rPr>
          <w:b/>
          <w:bCs/>
          <w:noProof/>
        </w:rPr>
        <w:t>本雅明（</w:t>
      </w:r>
      <w:r w:rsidRPr="007B604B">
        <w:rPr>
          <w:b/>
          <w:bCs/>
          <w:noProof/>
        </w:rPr>
        <w:t>Andrew Benjamin</w:t>
      </w:r>
      <w:r w:rsidRPr="007B604B">
        <w:rPr>
          <w:b/>
          <w:bCs/>
          <w:noProof/>
        </w:rPr>
        <w:t>）</w:t>
      </w:r>
      <w:r w:rsidRPr="007B604B">
        <w:rPr>
          <w:noProof/>
        </w:rPr>
        <w:t>是墨尔本大学艺术学院（</w:t>
      </w:r>
      <w:r w:rsidRPr="007B604B">
        <w:rPr>
          <w:noProof/>
        </w:rPr>
        <w:t>Faculty of Arts</w:t>
      </w:r>
      <w:r w:rsidRPr="007B604B">
        <w:rPr>
          <w:noProof/>
        </w:rPr>
        <w:t>）传播与文化研究学院荣誉教授。他曾在英国和澳大利亚多所大学任职。其学术生涯始于华威大学（，并晋升为哲学教授；直到</w:t>
      </w:r>
      <w:r w:rsidRPr="007B604B">
        <w:rPr>
          <w:noProof/>
        </w:rPr>
        <w:t>2022</w:t>
      </w:r>
      <w:r w:rsidRPr="007B604B">
        <w:rPr>
          <w:noProof/>
        </w:rPr>
        <w:t>年，他仍每年在伦敦金斯顿大学任教一个学期，并与该校现代欧洲哲学研究中心保持密切关联。</w:t>
      </w:r>
    </w:p>
    <w:p w14:paraId="60FB1F04" w14:textId="77777777" w:rsidR="007B604B" w:rsidRDefault="007B604B" w:rsidP="007B604B">
      <w:pPr>
        <w:ind w:firstLineChars="200" w:firstLine="420"/>
        <w:rPr>
          <w:noProof/>
        </w:rPr>
      </w:pPr>
    </w:p>
    <w:p w14:paraId="30ACD76E" w14:textId="331C5524" w:rsidR="007B604B" w:rsidRPr="007B604B" w:rsidRDefault="007B604B" w:rsidP="007B604B">
      <w:pPr>
        <w:ind w:firstLineChars="200" w:firstLine="420"/>
        <w:rPr>
          <w:noProof/>
        </w:rPr>
      </w:pPr>
      <w:r w:rsidRPr="007B604B">
        <w:rPr>
          <w:noProof/>
        </w:rPr>
        <w:t>他著述颇丰，代表作包括由爱丁堡大学出版社（</w:t>
      </w:r>
      <w:r w:rsidRPr="007B604B">
        <w:rPr>
          <w:noProof/>
        </w:rPr>
        <w:t>Edinburgh University Press</w:t>
      </w:r>
      <w:r w:rsidRPr="007B604B">
        <w:rPr>
          <w:noProof/>
        </w:rPr>
        <w:t>）出版的《与瓦尔特</w:t>
      </w:r>
      <w:r w:rsidRPr="007B604B">
        <w:rPr>
          <w:noProof/>
        </w:rPr>
        <w:t>·</w:t>
      </w:r>
      <w:r w:rsidRPr="007B604B">
        <w:rPr>
          <w:noProof/>
        </w:rPr>
        <w:t>本雅明一道工作：重建一种政治哲学》（</w:t>
      </w:r>
      <w:r w:rsidRPr="007B604B">
        <w:rPr>
          <w:i/>
          <w:iCs/>
          <w:noProof/>
        </w:rPr>
        <w:t>Working with Walter Benjamin: Recovering a Political Philosophy</w:t>
      </w:r>
      <w:r w:rsidRPr="007B604B">
        <w:rPr>
          <w:noProof/>
        </w:rPr>
        <w:t>，</w:t>
      </w:r>
      <w:r w:rsidRPr="007B604B">
        <w:rPr>
          <w:noProof/>
        </w:rPr>
        <w:t>2013</w:t>
      </w:r>
      <w:r w:rsidRPr="007B604B">
        <w:rPr>
          <w:noProof/>
        </w:rPr>
        <w:t>）和《论犹太人与动物》（</w:t>
      </w:r>
      <w:r w:rsidRPr="007B604B">
        <w:rPr>
          <w:i/>
          <w:iCs/>
          <w:noProof/>
        </w:rPr>
        <w:t>Of Jews and Animals</w:t>
      </w:r>
      <w:r w:rsidRPr="007B604B">
        <w:rPr>
          <w:noProof/>
        </w:rPr>
        <w:t>，</w:t>
      </w:r>
      <w:r w:rsidRPr="007B604B">
        <w:rPr>
          <w:noProof/>
        </w:rPr>
        <w:t>2011</w:t>
      </w:r>
      <w:r w:rsidRPr="007B604B">
        <w:rPr>
          <w:noProof/>
        </w:rPr>
        <w:t>）等。</w:t>
      </w:r>
    </w:p>
    <w:p w14:paraId="068AF382" w14:textId="2DBB2A13" w:rsidR="00DD01FE" w:rsidRPr="000F7F44" w:rsidRDefault="00DD01FE" w:rsidP="007B604B">
      <w:pPr>
        <w:rPr>
          <w:noProof/>
        </w:rPr>
      </w:pPr>
    </w:p>
    <w:p w14:paraId="1053EE94" w14:textId="77777777" w:rsidR="003C4C2E" w:rsidRPr="003C5395" w:rsidRDefault="003C4C2E" w:rsidP="003C5395">
      <w:pPr>
        <w:ind w:firstLineChars="200" w:firstLine="420"/>
        <w:rPr>
          <w:noProof/>
        </w:rPr>
      </w:pPr>
      <w:bookmarkStart w:id="0" w:name="OLE_LINK38"/>
      <w:bookmarkStart w:id="1" w:name="OLE_LINK43"/>
    </w:p>
    <w:p w14:paraId="58663447" w14:textId="77777777" w:rsidR="0039755A" w:rsidRPr="003C5395" w:rsidRDefault="0039755A" w:rsidP="003C5395">
      <w:pPr>
        <w:rPr>
          <w:b/>
          <w:noProof/>
        </w:rPr>
      </w:pPr>
      <w:r w:rsidRPr="003C5395">
        <w:rPr>
          <w:rFonts w:hint="eastAsia"/>
          <w:b/>
          <w:noProof/>
        </w:rPr>
        <w:t>媒体评价：</w:t>
      </w:r>
    </w:p>
    <w:p w14:paraId="63F070EA" w14:textId="77777777" w:rsidR="0039755A" w:rsidRPr="003C5395" w:rsidRDefault="0039755A" w:rsidP="003C5395">
      <w:pPr>
        <w:ind w:firstLineChars="200" w:firstLine="420"/>
        <w:rPr>
          <w:noProof/>
        </w:rPr>
      </w:pPr>
    </w:p>
    <w:p w14:paraId="1A28BB25" w14:textId="2E7C1A61" w:rsidR="0039755A" w:rsidRPr="003C5395" w:rsidRDefault="0039755A" w:rsidP="003C5395">
      <w:pPr>
        <w:ind w:firstLineChars="200" w:firstLine="420"/>
        <w:rPr>
          <w:noProof/>
        </w:rPr>
      </w:pPr>
      <w:r w:rsidRPr="003C5395">
        <w:rPr>
          <w:rFonts w:hint="eastAsia"/>
          <w:noProof/>
        </w:rPr>
        <w:t>“</w:t>
      </w:r>
      <w:r w:rsidR="007B604B" w:rsidRPr="003C5395">
        <w:rPr>
          <w:noProof/>
        </w:rPr>
        <w:t>如果一种姿态不仅能够运动或言说，而且能够思考，又会怎样？从皮耶罗</w:t>
      </w:r>
      <w:r w:rsidR="007B604B" w:rsidRPr="003C5395">
        <w:rPr>
          <w:noProof/>
        </w:rPr>
        <w:t>·</w:t>
      </w:r>
      <w:r w:rsidR="007B604B" w:rsidRPr="003C5395">
        <w:rPr>
          <w:noProof/>
        </w:rPr>
        <w:t>德拉</w:t>
      </w:r>
      <w:r w:rsidR="007B604B" w:rsidRPr="003C5395">
        <w:rPr>
          <w:noProof/>
        </w:rPr>
        <w:t>·</w:t>
      </w:r>
      <w:r w:rsidR="007B604B" w:rsidRPr="003C5395">
        <w:rPr>
          <w:noProof/>
        </w:rPr>
        <w:t>弗朗切斯卡到阿比</w:t>
      </w:r>
      <w:r w:rsidR="007B604B" w:rsidRPr="003C5395">
        <w:rPr>
          <w:noProof/>
        </w:rPr>
        <w:t>·</w:t>
      </w:r>
      <w:r w:rsidR="007B604B" w:rsidRPr="003C5395">
        <w:rPr>
          <w:noProof/>
        </w:rPr>
        <w:t>瓦尔堡，安德鲁</w:t>
      </w:r>
      <w:r w:rsidR="007B604B" w:rsidRPr="003C5395">
        <w:rPr>
          <w:noProof/>
        </w:rPr>
        <w:t>·</w:t>
      </w:r>
      <w:r w:rsidR="007B604B" w:rsidRPr="003C5395">
        <w:rPr>
          <w:noProof/>
        </w:rPr>
        <w:t>本雅明在本书中提出了一部关于艺术姿态的新历史，将其理解为一种在哲学、神学和政治层面上都被</w:t>
      </w:r>
      <w:r w:rsidR="007B604B" w:rsidRPr="003C5395">
        <w:rPr>
          <w:noProof/>
        </w:rPr>
        <w:t>‘</w:t>
      </w:r>
      <w:r w:rsidR="007B604B" w:rsidRPr="003C5395">
        <w:rPr>
          <w:noProof/>
        </w:rPr>
        <w:t>赋义</w:t>
      </w:r>
      <w:r w:rsidR="007B604B" w:rsidRPr="003C5395">
        <w:rPr>
          <w:noProof/>
        </w:rPr>
        <w:t>’</w:t>
      </w:r>
      <w:r w:rsidR="007B604B" w:rsidRPr="003C5395">
        <w:rPr>
          <w:noProof/>
        </w:rPr>
        <w:t>的形式。在《姿态的艺术》中，本雅明不仅在哲学与艺术史之间开辟出一场极具原创性且学养深厚的对话，更揭示出艺术作品本身就是一种哲学形式。这是一部非凡之作，对于所有从事哲学、神学和艺术史研究的人而言，都是必读之书。</w:t>
      </w:r>
      <w:r w:rsidRPr="003C5395">
        <w:rPr>
          <w:rFonts w:hint="eastAsia"/>
          <w:noProof/>
        </w:rPr>
        <w:t>”</w:t>
      </w:r>
    </w:p>
    <w:p w14:paraId="477B9D21" w14:textId="50CAE4C9" w:rsidR="0039755A" w:rsidRPr="003C5395" w:rsidRDefault="0039755A" w:rsidP="003C5395">
      <w:pPr>
        <w:ind w:firstLineChars="200" w:firstLine="420"/>
        <w:jc w:val="right"/>
        <w:rPr>
          <w:noProof/>
        </w:rPr>
      </w:pPr>
      <w:r w:rsidRPr="003C5395">
        <w:rPr>
          <w:noProof/>
        </w:rPr>
        <w:t>——</w:t>
      </w:r>
      <w:r w:rsidR="007B604B" w:rsidRPr="003C5395">
        <w:rPr>
          <w:noProof/>
        </w:rPr>
        <w:t>阿瑟</w:t>
      </w:r>
      <w:r w:rsidR="007B604B" w:rsidRPr="003C5395">
        <w:rPr>
          <w:noProof/>
        </w:rPr>
        <w:t>·</w:t>
      </w:r>
      <w:r w:rsidR="007B604B" w:rsidRPr="003C5395">
        <w:rPr>
          <w:noProof/>
        </w:rPr>
        <w:t>布拉德利（</w:t>
      </w:r>
      <w:r w:rsidR="007B604B" w:rsidRPr="003C5395">
        <w:rPr>
          <w:noProof/>
        </w:rPr>
        <w:t>Arthur Bradley</w:t>
      </w:r>
      <w:r w:rsidR="007B604B" w:rsidRPr="003C5395">
        <w:rPr>
          <w:noProof/>
        </w:rPr>
        <w:t>），兰卡斯特大学（</w:t>
      </w:r>
      <w:r w:rsidR="007B604B" w:rsidRPr="003C5395">
        <w:rPr>
          <w:noProof/>
        </w:rPr>
        <w:t>Lancaster University</w:t>
      </w:r>
      <w:r w:rsidR="007B604B" w:rsidRPr="003C5395">
        <w:rPr>
          <w:noProof/>
        </w:rPr>
        <w:t>）</w:t>
      </w:r>
    </w:p>
    <w:p w14:paraId="2A271175" w14:textId="77777777" w:rsidR="007B604B" w:rsidRPr="003C5395" w:rsidRDefault="007B604B" w:rsidP="003C5395">
      <w:pPr>
        <w:ind w:firstLineChars="200" w:firstLine="420"/>
        <w:rPr>
          <w:noProof/>
        </w:rPr>
      </w:pPr>
    </w:p>
    <w:p w14:paraId="6C47D13A" w14:textId="7A57448C" w:rsidR="0039755A" w:rsidRPr="003C5395" w:rsidRDefault="0039755A" w:rsidP="003C5395">
      <w:pPr>
        <w:ind w:firstLineChars="200" w:firstLine="420"/>
        <w:rPr>
          <w:noProof/>
        </w:rPr>
      </w:pPr>
      <w:r w:rsidRPr="003C5395">
        <w:rPr>
          <w:rFonts w:hint="eastAsia"/>
          <w:noProof/>
        </w:rPr>
        <w:t>“</w:t>
      </w:r>
      <w:r w:rsidR="007B604B" w:rsidRPr="003C5395">
        <w:rPr>
          <w:noProof/>
        </w:rPr>
        <w:t>自阿比</w:t>
      </w:r>
      <w:r w:rsidR="007B604B" w:rsidRPr="003C5395">
        <w:rPr>
          <w:noProof/>
        </w:rPr>
        <w:t>·</w:t>
      </w:r>
      <w:r w:rsidR="007B604B" w:rsidRPr="003C5395">
        <w:rPr>
          <w:noProof/>
        </w:rPr>
        <w:t>瓦尔堡以来，尚未有哪部著作能如此深入地分析西方绘画中现代性的基督教</w:t>
      </w:r>
      <w:r w:rsidR="007B604B" w:rsidRPr="003C5395">
        <w:rPr>
          <w:noProof/>
        </w:rPr>
        <w:t>—</w:t>
      </w:r>
      <w:r w:rsidR="007B604B" w:rsidRPr="003C5395">
        <w:rPr>
          <w:noProof/>
        </w:rPr>
        <w:t>异教对话。安德鲁</w:t>
      </w:r>
      <w:r w:rsidR="007B604B" w:rsidRPr="003C5395">
        <w:rPr>
          <w:noProof/>
        </w:rPr>
        <w:t>·</w:t>
      </w:r>
      <w:r w:rsidR="007B604B" w:rsidRPr="003C5395">
        <w:rPr>
          <w:noProof/>
        </w:rPr>
        <w:t>本雅明通过对艺术作品的</w:t>
      </w:r>
      <w:r w:rsidR="007B604B" w:rsidRPr="003C5395">
        <w:rPr>
          <w:rFonts w:hint="eastAsia"/>
          <w:noProof/>
        </w:rPr>
        <w:t>‘</w:t>
      </w:r>
      <w:r w:rsidR="007B604B" w:rsidRPr="003C5395">
        <w:rPr>
          <w:noProof/>
        </w:rPr>
        <w:t>深度</w:t>
      </w:r>
      <w:r w:rsidR="007B604B" w:rsidRPr="003C5395">
        <w:rPr>
          <w:rFonts w:hint="eastAsia"/>
          <w:noProof/>
        </w:rPr>
        <w:t>’</w:t>
      </w:r>
      <w:r w:rsidR="007B604B" w:rsidRPr="003C5395">
        <w:rPr>
          <w:noProof/>
        </w:rPr>
        <w:t>解读，建构出一套系统展开的艺术哲学及其</w:t>
      </w:r>
      <w:r w:rsidR="007B604B" w:rsidRPr="003C5395">
        <w:rPr>
          <w:rFonts w:hint="eastAsia"/>
          <w:noProof/>
        </w:rPr>
        <w:t>‘</w:t>
      </w:r>
      <w:r w:rsidR="007B604B" w:rsidRPr="003C5395">
        <w:rPr>
          <w:noProof/>
        </w:rPr>
        <w:t>赋形</w:t>
      </w:r>
      <w:r w:rsidR="007B604B" w:rsidRPr="003C5395">
        <w:rPr>
          <w:rFonts w:hint="eastAsia"/>
          <w:noProof/>
        </w:rPr>
        <w:t>’</w:t>
      </w:r>
      <w:r w:rsidR="007B604B" w:rsidRPr="003C5395">
        <w:rPr>
          <w:noProof/>
        </w:rPr>
        <w:t>理论，暂时搁置了形式分析与图像学阐释之间的分野。这无疑是一项真正卓越的成就。</w:t>
      </w:r>
      <w:r w:rsidRPr="003C5395">
        <w:rPr>
          <w:rFonts w:hint="eastAsia"/>
          <w:noProof/>
        </w:rPr>
        <w:t>”</w:t>
      </w:r>
    </w:p>
    <w:p w14:paraId="23535094" w14:textId="1B3EED3A" w:rsidR="0039755A" w:rsidRPr="003C5395" w:rsidRDefault="0039755A" w:rsidP="003C5395">
      <w:pPr>
        <w:ind w:firstLineChars="200" w:firstLine="420"/>
        <w:jc w:val="right"/>
        <w:rPr>
          <w:noProof/>
        </w:rPr>
      </w:pPr>
      <w:r w:rsidRPr="003C5395">
        <w:rPr>
          <w:noProof/>
        </w:rPr>
        <w:t>——</w:t>
      </w:r>
      <w:r w:rsidR="007B604B" w:rsidRPr="003C5395">
        <w:rPr>
          <w:noProof/>
        </w:rPr>
        <w:t>格里塞尔达</w:t>
      </w:r>
      <w:r w:rsidR="007B604B" w:rsidRPr="003C5395">
        <w:rPr>
          <w:noProof/>
        </w:rPr>
        <w:t>·</w:t>
      </w:r>
      <w:r w:rsidR="007B604B" w:rsidRPr="003C5395">
        <w:rPr>
          <w:noProof/>
        </w:rPr>
        <w:t>波洛克（</w:t>
      </w:r>
      <w:r w:rsidR="007B604B" w:rsidRPr="003C5395">
        <w:rPr>
          <w:noProof/>
        </w:rPr>
        <w:t>Griselda Pollock</w:t>
      </w:r>
      <w:r w:rsidR="007B604B" w:rsidRPr="003C5395">
        <w:rPr>
          <w:noProof/>
        </w:rPr>
        <w:t>），利兹大学（</w:t>
      </w:r>
      <w:r w:rsidR="007B604B" w:rsidRPr="003C5395">
        <w:rPr>
          <w:noProof/>
        </w:rPr>
        <w:t>University of Leeds</w:t>
      </w:r>
      <w:r w:rsidR="007B604B" w:rsidRPr="003C5395">
        <w:rPr>
          <w:noProof/>
        </w:rPr>
        <w:t>）</w:t>
      </w:r>
    </w:p>
    <w:p w14:paraId="4E46FA02" w14:textId="77777777" w:rsidR="0039755A" w:rsidRPr="003C5395" w:rsidRDefault="0039755A" w:rsidP="003C5395">
      <w:pPr>
        <w:ind w:firstLineChars="200" w:firstLine="420"/>
        <w:rPr>
          <w:noProof/>
        </w:rPr>
      </w:pPr>
    </w:p>
    <w:p w14:paraId="0913A4A2" w14:textId="77777777" w:rsidR="00835F21" w:rsidRPr="003C5395" w:rsidRDefault="00835F21" w:rsidP="003C5395">
      <w:pPr>
        <w:ind w:firstLineChars="200" w:firstLine="420"/>
        <w:rPr>
          <w:noProof/>
        </w:rPr>
      </w:pPr>
    </w:p>
    <w:p w14:paraId="13F1FA11" w14:textId="77777777" w:rsidR="0039755A" w:rsidRPr="003C5395" w:rsidRDefault="0039755A" w:rsidP="003C5395">
      <w:pPr>
        <w:rPr>
          <w:b/>
          <w:noProof/>
        </w:rPr>
      </w:pPr>
      <w:r w:rsidRPr="003C5395">
        <w:rPr>
          <w:rFonts w:hint="eastAsia"/>
          <w:b/>
          <w:noProof/>
        </w:rPr>
        <w:t>目录：</w:t>
      </w:r>
    </w:p>
    <w:p w14:paraId="451321C3" w14:textId="77777777" w:rsidR="0039755A" w:rsidRPr="003C5395" w:rsidRDefault="0039755A" w:rsidP="003C5395">
      <w:pPr>
        <w:rPr>
          <w:noProof/>
        </w:rPr>
      </w:pPr>
    </w:p>
    <w:p w14:paraId="73FBD2F0" w14:textId="77777777" w:rsidR="007B604B" w:rsidRPr="003C5395" w:rsidRDefault="007B604B" w:rsidP="003C5395">
      <w:pPr>
        <w:jc w:val="center"/>
        <w:rPr>
          <w:noProof/>
        </w:rPr>
      </w:pPr>
      <w:r w:rsidRPr="003C5395">
        <w:rPr>
          <w:noProof/>
        </w:rPr>
        <w:t>引言：作为被赋形之形式的姿态</w:t>
      </w:r>
    </w:p>
    <w:p w14:paraId="44F3E161" w14:textId="77777777" w:rsidR="007B604B" w:rsidRPr="003C5395" w:rsidRDefault="007B604B" w:rsidP="003C5395">
      <w:pPr>
        <w:jc w:val="center"/>
        <w:rPr>
          <w:noProof/>
        </w:rPr>
      </w:pPr>
    </w:p>
    <w:p w14:paraId="1ED834BB" w14:textId="77777777" w:rsidR="007B604B" w:rsidRPr="003C5395" w:rsidRDefault="007B604B" w:rsidP="003C5395">
      <w:pPr>
        <w:jc w:val="center"/>
        <w:rPr>
          <w:b/>
          <w:noProof/>
        </w:rPr>
      </w:pPr>
      <w:r w:rsidRPr="003C5395">
        <w:rPr>
          <w:b/>
          <w:noProof/>
        </w:rPr>
        <w:t>第一部分：走向对象</w:t>
      </w:r>
    </w:p>
    <w:p w14:paraId="676BA0DB" w14:textId="77777777" w:rsidR="007B604B" w:rsidRPr="003C5395" w:rsidRDefault="007B604B" w:rsidP="003C5395">
      <w:pPr>
        <w:jc w:val="center"/>
        <w:rPr>
          <w:noProof/>
        </w:rPr>
      </w:pPr>
      <w:r w:rsidRPr="003C5395">
        <w:rPr>
          <w:noProof/>
        </w:rPr>
        <w:t>表达的对象</w:t>
      </w:r>
    </w:p>
    <w:p w14:paraId="2706D0DF" w14:textId="77777777" w:rsidR="007B604B" w:rsidRPr="003C5395" w:rsidRDefault="007B604B" w:rsidP="003C5395">
      <w:pPr>
        <w:jc w:val="center"/>
        <w:rPr>
          <w:noProof/>
        </w:rPr>
      </w:pPr>
      <w:r w:rsidRPr="003C5395">
        <w:rPr>
          <w:noProof/>
        </w:rPr>
        <w:t>对象的生成：康德论天才</w:t>
      </w:r>
    </w:p>
    <w:p w14:paraId="16A635E9" w14:textId="77777777" w:rsidR="007B604B" w:rsidRPr="003C5395" w:rsidRDefault="007B604B" w:rsidP="003C5395">
      <w:pPr>
        <w:jc w:val="center"/>
        <w:rPr>
          <w:noProof/>
        </w:rPr>
      </w:pPr>
    </w:p>
    <w:p w14:paraId="1888F65F" w14:textId="11E6F4B1" w:rsidR="007B604B" w:rsidRPr="003C5395" w:rsidRDefault="007B604B" w:rsidP="003C5395">
      <w:pPr>
        <w:jc w:val="center"/>
        <w:rPr>
          <w:b/>
          <w:noProof/>
        </w:rPr>
      </w:pPr>
      <w:r w:rsidRPr="003C5395">
        <w:rPr>
          <w:b/>
          <w:noProof/>
        </w:rPr>
        <w:t>第二部分：阿比</w:t>
      </w:r>
      <w:r w:rsidRPr="003C5395">
        <w:rPr>
          <w:b/>
          <w:noProof/>
        </w:rPr>
        <w:t>·</w:t>
      </w:r>
      <w:r w:rsidRPr="003C5395">
        <w:rPr>
          <w:b/>
          <w:noProof/>
        </w:rPr>
        <w:t>瓦尔堡与瓦尔特</w:t>
      </w:r>
      <w:r w:rsidRPr="003C5395">
        <w:rPr>
          <w:b/>
          <w:noProof/>
        </w:rPr>
        <w:t>·</w:t>
      </w:r>
      <w:r w:rsidRPr="003C5395">
        <w:rPr>
          <w:b/>
          <w:noProof/>
        </w:rPr>
        <w:t>本雅明</w:t>
      </w:r>
    </w:p>
    <w:p w14:paraId="2F82BFFB" w14:textId="77777777" w:rsidR="007B604B" w:rsidRPr="003C5395" w:rsidRDefault="007B604B" w:rsidP="003C5395">
      <w:pPr>
        <w:jc w:val="center"/>
        <w:rPr>
          <w:noProof/>
        </w:rPr>
      </w:pPr>
      <w:r w:rsidRPr="003C5395">
        <w:rPr>
          <w:noProof/>
        </w:rPr>
        <w:lastRenderedPageBreak/>
        <w:t>姿态的双重化：阿比</w:t>
      </w:r>
      <w:r w:rsidRPr="003C5395">
        <w:rPr>
          <w:noProof/>
        </w:rPr>
        <w:t>·</w:t>
      </w:r>
      <w:r w:rsidRPr="003C5395">
        <w:rPr>
          <w:noProof/>
        </w:rPr>
        <w:t>瓦尔堡与瓦尔特</w:t>
      </w:r>
      <w:r w:rsidRPr="003C5395">
        <w:rPr>
          <w:noProof/>
        </w:rPr>
        <w:t>·</w:t>
      </w:r>
      <w:r w:rsidRPr="003C5395">
        <w:rPr>
          <w:noProof/>
        </w:rPr>
        <w:t>本雅明</w:t>
      </w:r>
    </w:p>
    <w:p w14:paraId="460BC365" w14:textId="77777777" w:rsidR="007B604B" w:rsidRPr="003C5395" w:rsidRDefault="007B604B" w:rsidP="003C5395">
      <w:pPr>
        <w:jc w:val="center"/>
        <w:rPr>
          <w:noProof/>
        </w:rPr>
      </w:pPr>
      <w:r w:rsidRPr="003C5395">
        <w:rPr>
          <w:noProof/>
        </w:rPr>
        <w:t>姿态与表达：限制哀悼的重复</w:t>
      </w:r>
      <w:r w:rsidRPr="003C5395">
        <w:rPr>
          <w:noProof/>
        </w:rPr>
        <w:t>——</w:t>
      </w:r>
      <w:r w:rsidRPr="003C5395">
        <w:rPr>
          <w:noProof/>
        </w:rPr>
        <w:t>瓦尔特</w:t>
      </w:r>
      <w:r w:rsidRPr="003C5395">
        <w:rPr>
          <w:noProof/>
        </w:rPr>
        <w:t>·</w:t>
      </w:r>
      <w:r w:rsidRPr="003C5395">
        <w:rPr>
          <w:noProof/>
        </w:rPr>
        <w:t>本雅明与索福克勒斯《厄勒克特拉》</w:t>
      </w:r>
    </w:p>
    <w:p w14:paraId="0E7633B4" w14:textId="41DF102D" w:rsidR="007B604B" w:rsidRPr="003C5395" w:rsidRDefault="007B604B" w:rsidP="003C5395">
      <w:pPr>
        <w:jc w:val="center"/>
        <w:rPr>
          <w:noProof/>
        </w:rPr>
      </w:pPr>
      <w:r w:rsidRPr="003C5395">
        <w:rPr>
          <w:noProof/>
        </w:rPr>
        <w:t>共</w:t>
      </w:r>
      <w:bookmarkStart w:id="2" w:name="_GoBack"/>
      <w:bookmarkEnd w:id="2"/>
      <w:r w:rsidRPr="003C5395">
        <w:rPr>
          <w:noProof/>
        </w:rPr>
        <w:t>情与姿态：瓦尔堡论萨塞蒂小堂</w:t>
      </w:r>
    </w:p>
    <w:p w14:paraId="2F2EDCB3" w14:textId="77777777" w:rsidR="007B604B" w:rsidRPr="003C5395" w:rsidRDefault="007B604B" w:rsidP="003C5395">
      <w:pPr>
        <w:jc w:val="center"/>
        <w:rPr>
          <w:noProof/>
        </w:rPr>
      </w:pPr>
    </w:p>
    <w:p w14:paraId="46823E9B" w14:textId="77777777" w:rsidR="007B604B" w:rsidRPr="003C5395" w:rsidRDefault="007B604B" w:rsidP="003C5395">
      <w:pPr>
        <w:jc w:val="center"/>
        <w:rPr>
          <w:b/>
          <w:noProof/>
        </w:rPr>
      </w:pPr>
      <w:r w:rsidRPr="003C5395">
        <w:rPr>
          <w:b/>
          <w:noProof/>
        </w:rPr>
        <w:t>第三部分：基督教政治神学的艺术</w:t>
      </w:r>
    </w:p>
    <w:p w14:paraId="0DA8907C" w14:textId="49C12656" w:rsidR="007B604B" w:rsidRPr="003C5395" w:rsidRDefault="007B604B" w:rsidP="003C5395">
      <w:pPr>
        <w:jc w:val="center"/>
        <w:rPr>
          <w:noProof/>
        </w:rPr>
      </w:pPr>
      <w:r w:rsidRPr="003C5395">
        <w:rPr>
          <w:noProof/>
        </w:rPr>
        <w:t>罗索</w:t>
      </w:r>
      <w:r w:rsidRPr="003C5395">
        <w:rPr>
          <w:noProof/>
        </w:rPr>
        <w:t>·</w:t>
      </w:r>
      <w:r w:rsidRPr="003C5395">
        <w:rPr>
          <w:noProof/>
        </w:rPr>
        <w:t>菲奥伦蒂诺笔下</w:t>
      </w:r>
      <w:r w:rsidRPr="003C5395">
        <w:rPr>
          <w:rFonts w:hint="eastAsia"/>
          <w:noProof/>
        </w:rPr>
        <w:t>“</w:t>
      </w:r>
      <w:r w:rsidRPr="003C5395">
        <w:rPr>
          <w:noProof/>
        </w:rPr>
        <w:t>死去的</w:t>
      </w:r>
      <w:r w:rsidRPr="003C5395">
        <w:rPr>
          <w:rFonts w:hint="eastAsia"/>
          <w:noProof/>
        </w:rPr>
        <w:t>”</w:t>
      </w:r>
      <w:r w:rsidRPr="003C5395">
        <w:rPr>
          <w:noProof/>
        </w:rPr>
        <w:t>基督</w:t>
      </w:r>
    </w:p>
    <w:p w14:paraId="16BBA62A" w14:textId="11E88803" w:rsidR="007B604B" w:rsidRPr="003C5395" w:rsidRDefault="007B604B" w:rsidP="003C5395">
      <w:pPr>
        <w:jc w:val="center"/>
        <w:rPr>
          <w:noProof/>
        </w:rPr>
      </w:pPr>
      <w:r w:rsidRPr="003C5395">
        <w:rPr>
          <w:noProof/>
        </w:rPr>
        <w:t>皮耶罗</w:t>
      </w:r>
      <w:r w:rsidRPr="003C5395">
        <w:rPr>
          <w:noProof/>
        </w:rPr>
        <w:t>·</w:t>
      </w:r>
      <w:r w:rsidRPr="003C5395">
        <w:rPr>
          <w:noProof/>
        </w:rPr>
        <w:t>德拉</w:t>
      </w:r>
      <w:r w:rsidRPr="003C5395">
        <w:rPr>
          <w:noProof/>
        </w:rPr>
        <w:t>·</w:t>
      </w:r>
      <w:r w:rsidRPr="003C5395">
        <w:rPr>
          <w:noProof/>
        </w:rPr>
        <w:t>弗朗切斯卡的《复活》</w:t>
      </w:r>
    </w:p>
    <w:p w14:paraId="1859D806" w14:textId="77777777" w:rsidR="007B604B" w:rsidRPr="003C5395" w:rsidRDefault="007B604B" w:rsidP="003C5395">
      <w:pPr>
        <w:jc w:val="center"/>
        <w:rPr>
          <w:noProof/>
        </w:rPr>
      </w:pPr>
    </w:p>
    <w:p w14:paraId="37E246D1" w14:textId="149E4F6D" w:rsidR="007B604B" w:rsidRPr="003C5395" w:rsidRDefault="007B604B" w:rsidP="003C5395">
      <w:pPr>
        <w:jc w:val="center"/>
        <w:rPr>
          <w:noProof/>
        </w:rPr>
      </w:pPr>
      <w:r w:rsidRPr="003C5395">
        <w:rPr>
          <w:noProof/>
        </w:rPr>
        <w:t>结论</w:t>
      </w:r>
    </w:p>
    <w:p w14:paraId="244DD161" w14:textId="77777777" w:rsidR="0039755A" w:rsidRPr="003C5395" w:rsidRDefault="0039755A" w:rsidP="003C5395">
      <w:pPr>
        <w:ind w:firstLineChars="200" w:firstLine="420"/>
        <w:rPr>
          <w:noProof/>
        </w:rPr>
      </w:pPr>
    </w:p>
    <w:p w14:paraId="5B5BA3E9" w14:textId="77777777" w:rsidR="0039755A" w:rsidRPr="0039755A" w:rsidRDefault="0039755A" w:rsidP="001C723F">
      <w:pPr>
        <w:shd w:val="clear" w:color="auto" w:fill="FFFFFF"/>
        <w:snapToGrid w:val="0"/>
        <w:rPr>
          <w:bCs/>
          <w:color w:val="000000"/>
          <w:szCs w:val="21"/>
        </w:rPr>
      </w:pPr>
    </w:p>
    <w:p w14:paraId="6CCA3BBD" w14:textId="0077D5DB" w:rsidR="00AE574A" w:rsidRDefault="00A14DF2" w:rsidP="001C723F">
      <w:pPr>
        <w:shd w:val="clear" w:color="auto" w:fill="FFFFFF"/>
        <w:snapToGrid w:val="0"/>
        <w:rPr>
          <w:color w:val="000000"/>
          <w:szCs w:val="21"/>
        </w:rPr>
      </w:pPr>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8413E" w14:textId="77777777" w:rsidR="00342E0F" w:rsidRDefault="00342E0F">
      <w:r>
        <w:separator/>
      </w:r>
    </w:p>
  </w:endnote>
  <w:endnote w:type="continuationSeparator" w:id="0">
    <w:p w14:paraId="4A364421" w14:textId="77777777" w:rsidR="00342E0F" w:rsidRDefault="0034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0D81D" w14:textId="77777777" w:rsidR="00342E0F" w:rsidRDefault="00342E0F">
      <w:r>
        <w:separator/>
      </w:r>
    </w:p>
  </w:footnote>
  <w:footnote w:type="continuationSeparator" w:id="0">
    <w:p w14:paraId="7DF1D561" w14:textId="77777777" w:rsidR="00342E0F" w:rsidRDefault="00342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7CB5F9C"/>
    <w:multiLevelType w:val="multilevel"/>
    <w:tmpl w:val="5F025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A639E4"/>
    <w:multiLevelType w:val="multilevel"/>
    <w:tmpl w:val="548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B315608"/>
    <w:multiLevelType w:val="multilevel"/>
    <w:tmpl w:val="5DF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4"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8"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5"/>
  </w:num>
  <w:num w:numId="2">
    <w:abstractNumId w:val="17"/>
  </w:num>
  <w:num w:numId="3">
    <w:abstractNumId w:val="28"/>
  </w:num>
  <w:num w:numId="4">
    <w:abstractNumId w:val="26"/>
  </w:num>
  <w:num w:numId="5">
    <w:abstractNumId w:val="31"/>
  </w:num>
  <w:num w:numId="6">
    <w:abstractNumId w:val="27"/>
  </w:num>
  <w:num w:numId="7">
    <w:abstractNumId w:val="20"/>
  </w:num>
  <w:num w:numId="8">
    <w:abstractNumId w:val="23"/>
  </w:num>
  <w:num w:numId="9">
    <w:abstractNumId w:val="41"/>
  </w:num>
  <w:num w:numId="10">
    <w:abstractNumId w:val="2"/>
  </w:num>
  <w:num w:numId="11">
    <w:abstractNumId w:val="1"/>
  </w:num>
  <w:num w:numId="12">
    <w:abstractNumId w:val="13"/>
  </w:num>
  <w:num w:numId="13">
    <w:abstractNumId w:val="32"/>
  </w:num>
  <w:num w:numId="14">
    <w:abstractNumId w:val="34"/>
  </w:num>
  <w:num w:numId="15">
    <w:abstractNumId w:val="16"/>
  </w:num>
  <w:num w:numId="16">
    <w:abstractNumId w:val="40"/>
  </w:num>
  <w:num w:numId="17">
    <w:abstractNumId w:val="15"/>
  </w:num>
  <w:num w:numId="18">
    <w:abstractNumId w:val="22"/>
  </w:num>
  <w:num w:numId="19">
    <w:abstractNumId w:val="6"/>
  </w:num>
  <w:num w:numId="20">
    <w:abstractNumId w:val="44"/>
  </w:num>
  <w:num w:numId="21">
    <w:abstractNumId w:val="38"/>
  </w:num>
  <w:num w:numId="22">
    <w:abstractNumId w:val="30"/>
  </w:num>
  <w:num w:numId="23">
    <w:abstractNumId w:val="3"/>
  </w:num>
  <w:num w:numId="24">
    <w:abstractNumId w:val="7"/>
  </w:num>
  <w:num w:numId="25">
    <w:abstractNumId w:val="39"/>
  </w:num>
  <w:num w:numId="26">
    <w:abstractNumId w:val="4"/>
  </w:num>
  <w:num w:numId="27">
    <w:abstractNumId w:val="18"/>
  </w:num>
  <w:num w:numId="28">
    <w:abstractNumId w:val="37"/>
  </w:num>
  <w:num w:numId="29">
    <w:abstractNumId w:val="42"/>
  </w:num>
  <w:num w:numId="30">
    <w:abstractNumId w:val="29"/>
  </w:num>
  <w:num w:numId="31">
    <w:abstractNumId w:val="35"/>
  </w:num>
  <w:num w:numId="32">
    <w:abstractNumId w:val="43"/>
  </w:num>
  <w:num w:numId="33">
    <w:abstractNumId w:val="11"/>
  </w:num>
  <w:num w:numId="34">
    <w:abstractNumId w:val="9"/>
  </w:num>
  <w:num w:numId="35">
    <w:abstractNumId w:val="14"/>
  </w:num>
  <w:num w:numId="36">
    <w:abstractNumId w:val="21"/>
  </w:num>
  <w:num w:numId="37">
    <w:abstractNumId w:val="12"/>
  </w:num>
  <w:num w:numId="38">
    <w:abstractNumId w:val="5"/>
  </w:num>
  <w:num w:numId="39">
    <w:abstractNumId w:val="0"/>
  </w:num>
  <w:num w:numId="40">
    <w:abstractNumId w:val="33"/>
  </w:num>
  <w:num w:numId="41">
    <w:abstractNumId w:val="19"/>
  </w:num>
  <w:num w:numId="42">
    <w:abstractNumId w:val="36"/>
  </w:num>
  <w:num w:numId="43">
    <w:abstractNumId w:val="24"/>
  </w:num>
  <w:num w:numId="44">
    <w:abstractNumId w:val="1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4D23"/>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2E0F"/>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5395"/>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C6F16"/>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1AC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66D6"/>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04B"/>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5F21"/>
    <w:rsid w:val="00836103"/>
    <w:rsid w:val="008375D6"/>
    <w:rsid w:val="0084131F"/>
    <w:rsid w:val="00845E7F"/>
    <w:rsid w:val="008520C3"/>
    <w:rsid w:val="00852DF8"/>
    <w:rsid w:val="00865331"/>
    <w:rsid w:val="00867073"/>
    <w:rsid w:val="00867535"/>
    <w:rsid w:val="008706FD"/>
    <w:rsid w:val="00881FF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6493"/>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869D5-20D6-48F0-AE4E-2007B1EB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1204</Words>
  <Characters>1783</Characters>
  <Application>Microsoft Office Word</Application>
  <DocSecurity>0</DocSecurity>
  <Lines>84</Lines>
  <Paragraphs>69</Paragraphs>
  <ScaleCrop>false</ScaleCrop>
  <Company>2ndSpAcE</Company>
  <LinksUpToDate>false</LinksUpToDate>
  <CharactersWithSpaces>2918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2026-03-25T09:23:00Z</dcterms:created>
  <dcterms:modified xsi:type="dcterms:W3CDTF">2026-03-26T06:43:00Z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