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《正义之名：十七世纪被审判的女性》</w:t>
      </w:r>
    </w:p>
    <w:p w14:paraId="139DC89A">
      <w:pPr>
        <w:tabs>
          <w:tab w:val="left" w:pos="341"/>
          <w:tab w:val="left" w:pos="5235"/>
        </w:tabs>
        <w:jc w:val="left"/>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RIGHTEOUS</w:t>
      </w:r>
      <w:r>
        <w:rPr>
          <w:rFonts w:hint="eastAsia"/>
          <w:b/>
          <w:bCs/>
          <w:i w:val="0"/>
          <w:iCs/>
          <w:color w:val="000000"/>
          <w:szCs w:val="21"/>
          <w:highlight w:val="none"/>
          <w:lang w:val="en-US" w:eastAsia="zh-CN"/>
        </w:rPr>
        <w:t>:</w:t>
      </w:r>
      <w:r>
        <w:rPr>
          <w:rFonts w:hint="eastAsia"/>
          <w:b/>
          <w:bCs/>
          <w:i w:val="0"/>
          <w:iCs/>
          <w:color w:val="000000"/>
          <w:szCs w:val="21"/>
          <w:highlight w:val="none"/>
        </w:rPr>
        <w:t xml:space="preserve"> Women, Witches, and Guilt in the Seventeenth Century</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Dr Erica Canela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Head of Zeus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待定（约8万字）</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28</w:t>
      </w:r>
      <w:r>
        <w:rPr>
          <w:b/>
          <w:bCs/>
          <w:color w:val="000000"/>
          <w:szCs w:val="21"/>
          <w:highlight w:val="none"/>
        </w:rPr>
        <w:t>年</w:t>
      </w:r>
      <w:r>
        <w:rPr>
          <w:rFonts w:hint="eastAsia"/>
          <w:b/>
          <w:bCs/>
          <w:color w:val="000000"/>
          <w:szCs w:val="21"/>
          <w:highlight w:val="none"/>
          <w:lang w:val="en-US" w:eastAsia="zh-CN"/>
        </w:rPr>
        <w:t>3月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大纲（预计27.3交稿）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历史</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8C0827C">
      <w:pPr>
        <w:ind w:firstLine="420" w:firstLineChars="200"/>
        <w:rPr>
          <w:rFonts w:hint="eastAsia"/>
          <w:bCs/>
          <w:kern w:val="0"/>
          <w:szCs w:val="21"/>
        </w:rPr>
      </w:pPr>
      <w:r>
        <w:rPr>
          <w:rFonts w:hint="eastAsia"/>
          <w:bCs/>
          <w:kern w:val="0"/>
          <w:szCs w:val="21"/>
        </w:rPr>
        <w:t>十七世纪是一个危机四伏的时代——动荡变革、人口迁徙、内战纷争与宗教狂热交织在一起。而对女性而言，这个时代往往更加凶险，仅仅是在错误的时间出现在错误的地点，就可能导致致命的法律迫害。新近加入Head of Zeus出版社非虚构书系（由出版总监伊恩·麦克格雷戈引进）的艾丽卡·卡内拉博士，以女性与巫术为主题切入，更广泛地探讨了十七世纪女性的处决问题。全书以英格兰彭德尔女巫审判（1612年）和马萨诸塞塞勒姆女巫审判（1691年）为首尾章节，中间聚焦六至八位女性（每章一位核心人物），同时将大约四十位来自大西洋两岸女性的故事编织进叙事之中——她们被指控的不仅是巫术，还包括杀婴、谋杀、盗窃、政治异见、宗教不遵从以及普遍的言辞出格、惹是生非。</w:t>
      </w:r>
    </w:p>
    <w:p w14:paraId="5496BA87">
      <w:pPr>
        <w:ind w:firstLine="420" w:firstLineChars="200"/>
        <w:rPr>
          <w:rFonts w:hint="eastAsia"/>
          <w:bCs/>
          <w:kern w:val="0"/>
          <w:szCs w:val="21"/>
        </w:rPr>
      </w:pPr>
    </w:p>
    <w:p w14:paraId="3FD93BD5">
      <w:pPr>
        <w:ind w:firstLine="420" w:firstLineChars="200"/>
        <w:rPr>
          <w:rFonts w:hint="eastAsia"/>
          <w:bCs/>
          <w:kern w:val="0"/>
          <w:szCs w:val="21"/>
        </w:rPr>
      </w:pPr>
      <w:r>
        <w:rPr>
          <w:rFonts w:hint="eastAsia"/>
          <w:bCs/>
          <w:kern w:val="0"/>
          <w:szCs w:val="21"/>
        </w:rPr>
        <w:t>卡内拉博士广泛查阅了英格兰和北美的大量原始档案资料，重构了这些女性的生平。她们的故事揭示了那个充满不确定、不信任与猜疑的时代中女性面临的险恶现实——彼时，恐惧、贫穷、名誉、信仰与性别决定了谁生谁死。这些女性中，有许多是仇杀与迷信的无辜受害者；另一些则是政治反叛者、宗教激进分子，或者确实犯下罪行的女性。她们的故事揭露了早期现代司法的运作机制，以及女性为逾越既定社会规范所付出的高昂代价。</w:t>
      </w:r>
    </w:p>
    <w:p w14:paraId="27CE21D6">
      <w:pPr>
        <w:ind w:firstLine="420" w:firstLineChars="200"/>
        <w:rPr>
          <w:rFonts w:hint="eastAsia"/>
          <w:bCs/>
          <w:kern w:val="0"/>
          <w:szCs w:val="21"/>
        </w:rPr>
      </w:pPr>
    </w:p>
    <w:p w14:paraId="6180FB91">
      <w:pPr>
        <w:ind w:firstLine="420" w:firstLineChars="200"/>
        <w:rPr>
          <w:rFonts w:hint="eastAsia"/>
          <w:bCs/>
          <w:kern w:val="0"/>
          <w:szCs w:val="21"/>
          <w:lang w:val="en-US" w:eastAsia="zh-CN"/>
        </w:rPr>
      </w:pPr>
      <w:r>
        <w:rPr>
          <w:rFonts w:hint="eastAsia"/>
          <w:bCs/>
          <w:kern w:val="0"/>
          <w:szCs w:val="21"/>
        </w:rPr>
        <w:t>《正义之名》核心探讨的是惩罚的政治、信仰的管控，以及对女性自主权的怀疑——这些问题在今日读来仍有着令人警醒的熟悉感。卡内拉博士将严谨的学术研究与引人入胜的叙事融为一体，使这本书非常适合对巫术、女性史、犯罪以及跨大西洋十七世纪感兴趣的广大大众读者。我们相信，喜爱斯泰西·希夫的《女巫》、马尔科姆·加斯基尔的《众巫之陨》、哈利·鲁本霍尔德《五个女人》以及娜奥米·贝克的《雷霆之声》的读者，也会被这本书所吸引。</w:t>
      </w:r>
    </w:p>
    <w:p w14:paraId="6594C28D">
      <w:pPr>
        <w:ind w:firstLine="420" w:firstLineChars="200"/>
        <w:rPr>
          <w:rFonts w:hint="eastAsia"/>
          <w:bCs/>
          <w:kern w:val="0"/>
          <w:szCs w:val="21"/>
          <w:lang w:val="en-US" w:eastAsia="zh-CN"/>
        </w:rPr>
      </w:pPr>
    </w:p>
    <w:p w14:paraId="0AD5405D">
      <w:pPr>
        <w:rPr>
          <w:b/>
          <w:color w:val="000000"/>
          <w:szCs w:val="21"/>
        </w:rPr>
      </w:pPr>
    </w:p>
    <w:p w14:paraId="1951768D">
      <w:pPr>
        <w:rPr>
          <w:rFonts w:hint="eastAsia"/>
          <w:b/>
          <w:color w:val="000000"/>
          <w:szCs w:val="21"/>
        </w:rPr>
      </w:pPr>
      <w:bookmarkStart w:id="1" w:name="_GoBack"/>
      <w:bookmarkEnd w:id="1"/>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卡内拉博士（</w:t>
      </w:r>
      <w:r>
        <w:rPr>
          <w:rFonts w:hint="eastAsia"/>
          <w:b/>
          <w:bCs/>
          <w:color w:val="000000"/>
          <w:szCs w:val="21"/>
          <w:highlight w:val="none"/>
        </w:rPr>
        <w:t>Dr Erica Canela</w:t>
      </w:r>
      <w:r>
        <w:rPr>
          <w:rFonts w:hint="eastAsia"/>
          <w:b/>
          <w:bCs/>
          <w:color w:val="000000"/>
          <w:szCs w:val="21"/>
          <w:lang w:val="en-US" w:eastAsia="zh-CN"/>
        </w:rPr>
        <w:t>）</w:t>
      </w:r>
      <w:r>
        <w:rPr>
          <w:rFonts w:hint="eastAsia"/>
          <w:b w:val="0"/>
          <w:bCs w:val="0"/>
          <w:color w:val="000000"/>
          <w:szCs w:val="21"/>
          <w:lang w:val="en-US" w:eastAsia="zh-CN"/>
        </w:rPr>
        <w:t>是一位近代早期社会史学家，拥有伯明翰大学博士学位，并是英国皇家历史学会会士。她同时也是一位成就卓著的大众史学家，经常出现在丹·斯诺的《历史一击》《美国历史一击》以及《不只有都铎》等知名播客节目中。她的上一部著作《狂热：早期贵格会的阴暗面》已于2025年由 Pen and Sword 出版社出版。宙斯之首出版社之所以将她纳入作者阵容，是因为她能够将普通人与他们真实的生活置于历史叙事的核心与中心位置。</w:t>
      </w:r>
    </w:p>
    <w:p w14:paraId="10811267">
      <w:pPr>
        <w:ind w:right="420"/>
        <w:jc w:val="left"/>
        <w:rPr>
          <w:rFonts w:hint="default"/>
          <w:b/>
          <w:bCs/>
          <w:color w:val="000000"/>
          <w:szCs w:val="21"/>
          <w:lang w:val="en-US" w:eastAsia="zh-CN"/>
        </w:rPr>
      </w:pPr>
    </w:p>
    <w:p w14:paraId="34E9DCAB">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2B736B0"/>
    <w:rsid w:val="24771887"/>
    <w:rsid w:val="2C0B6F0E"/>
    <w:rsid w:val="2DA34CE1"/>
    <w:rsid w:val="2F8359AE"/>
    <w:rsid w:val="311566B0"/>
    <w:rsid w:val="341F29BE"/>
    <w:rsid w:val="35FB0213"/>
    <w:rsid w:val="3AE04ADC"/>
    <w:rsid w:val="3C1934F8"/>
    <w:rsid w:val="406B3CF1"/>
    <w:rsid w:val="42B533F0"/>
    <w:rsid w:val="432A1201"/>
    <w:rsid w:val="432C279F"/>
    <w:rsid w:val="459C0CF6"/>
    <w:rsid w:val="46682CD1"/>
    <w:rsid w:val="46B43896"/>
    <w:rsid w:val="473A51A1"/>
    <w:rsid w:val="4AE76519"/>
    <w:rsid w:val="4BAA6922"/>
    <w:rsid w:val="4FC16455"/>
    <w:rsid w:val="543E2C5B"/>
    <w:rsid w:val="58DF0B08"/>
    <w:rsid w:val="5AB726B1"/>
    <w:rsid w:val="601E082E"/>
    <w:rsid w:val="60B3492E"/>
    <w:rsid w:val="63A56D66"/>
    <w:rsid w:val="68EE2E29"/>
    <w:rsid w:val="69A93106"/>
    <w:rsid w:val="6ABF12C5"/>
    <w:rsid w:val="6AEB37C3"/>
    <w:rsid w:val="6C615816"/>
    <w:rsid w:val="6CA56A14"/>
    <w:rsid w:val="71E47BC3"/>
    <w:rsid w:val="745C0F51"/>
    <w:rsid w:val="756C1B13"/>
    <w:rsid w:val="77AB543F"/>
    <w:rsid w:val="77E15A7D"/>
    <w:rsid w:val="7853134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1142</Words>
  <Characters>1510</Characters>
  <Lines>25</Lines>
  <Paragraphs>7</Paragraphs>
  <TotalTime>11</TotalTime>
  <ScaleCrop>false</ScaleCrop>
  <LinksUpToDate>false</LinksUpToDate>
  <CharactersWithSpaces>1553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2026-04-16T01:50:24Z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