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923576">
      <w:pPr>
        <w:jc w:val="center"/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3D765E">
      <w:pPr>
        <w:jc w:val="left"/>
        <w:rPr>
          <w:rFonts w:ascii="Times New Roman" w:hAnsi="Times New Roman" w:eastAsia="宋体"/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3623310</wp:posOffset>
            </wp:positionH>
            <wp:positionV relativeFrom="paragraph">
              <wp:posOffset>19685</wp:posOffset>
            </wp:positionV>
            <wp:extent cx="1313180" cy="1898015"/>
            <wp:effectExtent l="0" t="0" r="1270" b="6985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/>
          <w:b/>
          <w:bCs/>
        </w:rPr>
        <w:t>中文书名：</w:t>
      </w:r>
      <w:r>
        <w:rPr>
          <w:rFonts w:ascii="Times New Roman" w:hAnsi="Times New Roman" w:eastAsia="宋体"/>
          <w:b/>
          <w:bCs/>
        </w:rPr>
        <w:t>《</w:t>
      </w:r>
      <w:r>
        <w:rPr>
          <w:rFonts w:hint="eastAsia" w:ascii="Times New Roman" w:hAnsi="Times New Roman" w:eastAsia="宋体"/>
          <w:b/>
          <w:bCs/>
        </w:rPr>
        <w:t>魔法触碰</w:t>
      </w:r>
      <w:r>
        <w:rPr>
          <w:rFonts w:ascii="Times New Roman" w:hAnsi="Times New Roman" w:eastAsia="宋体"/>
          <w:b/>
          <w:bCs/>
        </w:rPr>
        <w:t>》</w:t>
      </w:r>
    </w:p>
    <w:p w14:paraId="395B43D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英文书名：</w:t>
      </w:r>
      <w:r>
        <w:rPr>
          <w:rFonts w:hint="eastAsia"/>
          <w:b/>
          <w:color w:val="000000"/>
          <w:szCs w:val="21"/>
        </w:rPr>
        <w:t>THE MAGICAL</w:t>
      </w:r>
      <w:r>
        <w:rPr>
          <w:rFonts w:hint="eastAsia"/>
          <w:b/>
          <w:color w:val="000000"/>
          <w:szCs w:val="21"/>
          <w:lang w:val="en-US" w:eastAsia="zh-CN"/>
        </w:rPr>
        <w:t xml:space="preserve"> </w:t>
      </w:r>
      <w:r>
        <w:rPr>
          <w:rFonts w:hint="eastAsia"/>
          <w:b/>
          <w:color w:val="000000"/>
          <w:szCs w:val="21"/>
        </w:rPr>
        <w:t>TOUCH</w:t>
      </w:r>
    </w:p>
    <w:p w14:paraId="07B3642D">
      <w:pPr>
        <w:keepNext w:val="0"/>
        <w:keepLines w:val="0"/>
        <w:widowControl/>
        <w:suppressLineNumbers w:val="0"/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作    者：</w:t>
      </w:r>
      <w:r>
        <w:rPr>
          <w:rFonts w:hint="eastAsia" w:ascii="Times New Roman" w:hAnsi="Times New Roman" w:eastAsia="宋体"/>
          <w:b/>
          <w:bCs/>
          <w:lang w:val="en-US" w:eastAsia="zh-CN"/>
        </w:rPr>
        <w:t>Hilal Gürsu</w:t>
      </w:r>
    </w:p>
    <w:p w14:paraId="0816D9C2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出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版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</w:rPr>
        <w:t>社</w:t>
      </w:r>
      <w:r>
        <w:rPr>
          <w:rFonts w:hint="eastAsia" w:ascii="Times New Roman" w:hAnsi="Times New Roman" w:eastAsia="宋体"/>
          <w:b/>
          <w:bCs/>
          <w:lang w:val="fr-FR"/>
        </w:rPr>
        <w:t>：Tudem</w:t>
      </w:r>
    </w:p>
    <w:p w14:paraId="6FAC9EEC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代理公司</w:t>
      </w:r>
      <w:r>
        <w:rPr>
          <w:rFonts w:hint="eastAsia" w:ascii="Times New Roman" w:hAnsi="Times New Roman" w:eastAsia="宋体"/>
          <w:b/>
          <w:bCs/>
          <w:lang w:val="fr-FR"/>
        </w:rPr>
        <w:t>：Tudem</w:t>
      </w:r>
    </w:p>
    <w:p w14:paraId="4C59AD75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页</w:t>
      </w:r>
      <w:r>
        <w:rPr>
          <w:rFonts w:hint="eastAsia" w:ascii="Times New Roman" w:hAnsi="Times New Roman" w:eastAsia="宋体"/>
          <w:b/>
          <w:bCs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</w:rPr>
        <w:t>数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/>
          <w:b/>
          <w:bCs/>
          <w:lang w:val="en-US" w:eastAsia="zh-CN"/>
        </w:rPr>
        <w:t>152</w:t>
      </w:r>
      <w:r>
        <w:rPr>
          <w:rFonts w:hint="eastAsia" w:ascii="Times New Roman" w:hAnsi="Times New Roman" w:eastAsia="宋体"/>
          <w:b/>
          <w:bCs/>
        </w:rPr>
        <w:t>页</w:t>
      </w:r>
    </w:p>
    <w:p w14:paraId="276046BC">
      <w:pPr>
        <w:jc w:val="left"/>
        <w:rPr>
          <w:rFonts w:hint="default" w:ascii="Times New Roman" w:hAnsi="Times New Roman" w:eastAsia="宋体"/>
          <w:b/>
          <w:bCs/>
          <w:lang w:val="en-US" w:eastAsia="zh-CN"/>
        </w:rPr>
      </w:pPr>
      <w:r>
        <w:rPr>
          <w:rFonts w:hint="eastAsia" w:ascii="Times New Roman" w:hAnsi="Times New Roman" w:eastAsia="宋体"/>
          <w:b/>
          <w:bCs/>
        </w:rPr>
        <w:t>出版时间</w:t>
      </w:r>
      <w:r>
        <w:rPr>
          <w:rFonts w:hint="eastAsia" w:ascii="Times New Roman" w:hAnsi="Times New Roman" w:eastAsia="宋体"/>
          <w:b/>
          <w:bCs/>
          <w:lang w:val="fr-FR"/>
        </w:rPr>
        <w:t>：202</w:t>
      </w:r>
      <w:r>
        <w:rPr>
          <w:rFonts w:hint="eastAsia"/>
          <w:b/>
          <w:bCs/>
          <w:lang w:val="en-US" w:eastAsia="zh-CN"/>
        </w:rPr>
        <w:t>6</w:t>
      </w:r>
      <w:r>
        <w:rPr>
          <w:rFonts w:hint="eastAsia" w:ascii="Times New Roman" w:hAnsi="Times New Roman" w:eastAsia="宋体"/>
          <w:b/>
          <w:bCs/>
        </w:rPr>
        <w:t>年</w:t>
      </w:r>
      <w:r>
        <w:rPr>
          <w:rFonts w:hint="eastAsia"/>
          <w:b/>
          <w:bCs/>
          <w:lang w:val="en-US" w:eastAsia="zh-CN"/>
        </w:rPr>
        <w:t>9月</w:t>
      </w:r>
    </w:p>
    <w:p w14:paraId="33865CFC">
      <w:pPr>
        <w:jc w:val="left"/>
        <w:rPr>
          <w:rFonts w:ascii="Times New Roman" w:hAnsi="Times New Roman" w:eastAsia="宋体"/>
          <w:b/>
          <w:bCs/>
          <w:lang w:val="fr-FR"/>
        </w:rPr>
      </w:pPr>
      <w:r>
        <w:rPr>
          <w:rFonts w:hint="eastAsia" w:ascii="Times New Roman" w:hAnsi="Times New Roman" w:eastAsia="宋体"/>
          <w:b/>
          <w:bCs/>
        </w:rPr>
        <w:t>代理地区</w:t>
      </w:r>
      <w:r>
        <w:rPr>
          <w:rFonts w:hint="eastAsia" w:ascii="Times New Roman" w:hAnsi="Times New Roman" w:eastAsia="宋体"/>
          <w:b/>
          <w:bCs/>
          <w:lang w:val="fr-FR"/>
        </w:rPr>
        <w:t>：</w:t>
      </w:r>
      <w:r>
        <w:rPr>
          <w:rFonts w:hint="eastAsia" w:ascii="Times New Roman" w:hAnsi="Times New Roman" w:eastAsia="宋体"/>
          <w:b/>
          <w:bCs/>
        </w:rPr>
        <w:t>中国大陆、台湾</w:t>
      </w:r>
    </w:p>
    <w:p w14:paraId="44A9FC59">
      <w:pPr>
        <w:jc w:val="left"/>
        <w:rPr>
          <w:rFonts w:ascii="Times New Roman" w:hAnsi="Times New Roman" w:eastAsia="宋体"/>
          <w:b/>
          <w:bCs/>
        </w:rPr>
      </w:pPr>
      <w:r>
        <w:rPr>
          <w:rFonts w:hint="eastAsia" w:ascii="Times New Roman" w:hAnsi="Times New Roman" w:eastAsia="宋体"/>
          <w:b/>
          <w:bCs/>
        </w:rPr>
        <w:t>审读资料：电子稿</w:t>
      </w:r>
    </w:p>
    <w:p w14:paraId="4842C324">
      <w:pPr>
        <w:jc w:val="left"/>
        <w:rPr>
          <w:rFonts w:hint="eastAsia" w:ascii="Times New Roman" w:hAnsi="Times New Roman" w:eastAsia="宋体"/>
          <w:b/>
          <w:bCs/>
          <w:lang w:eastAsia="zh-CN"/>
        </w:rPr>
      </w:pPr>
      <w:r>
        <w:rPr>
          <w:rFonts w:hint="eastAsia" w:ascii="Times New Roman" w:hAnsi="Times New Roman" w:eastAsia="宋体"/>
          <w:b/>
          <w:bCs/>
        </w:rPr>
        <w:t>类    型：</w:t>
      </w:r>
      <w:r>
        <w:rPr>
          <w:rFonts w:hint="eastAsia"/>
          <w:b/>
          <w:bCs/>
          <w:lang w:val="en-US" w:eastAsia="zh-CN"/>
        </w:rPr>
        <w:t>10+</w:t>
      </w:r>
      <w:r>
        <w:rPr>
          <w:rFonts w:hint="eastAsia" w:ascii="Times New Roman" w:hAnsi="Times New Roman" w:eastAsia="宋体"/>
          <w:b/>
          <w:bCs/>
          <w:lang w:val="en-US" w:eastAsia="zh-CN"/>
        </w:rPr>
        <w:t>儿童</w:t>
      </w:r>
      <w:r>
        <w:rPr>
          <w:rFonts w:hint="eastAsia"/>
          <w:b/>
          <w:bCs/>
          <w:lang w:val="en-US" w:eastAsia="zh-CN"/>
        </w:rPr>
        <w:t>文学</w:t>
      </w:r>
    </w:p>
    <w:p w14:paraId="08ABA501">
      <w:pPr>
        <w:rPr>
          <w:rFonts w:ascii="Times New Roman" w:hAnsi="Times New Roman" w:eastAsia="宋体"/>
          <w:b/>
          <w:bCs/>
          <w:color w:val="F79646" w:themeColor="accent6"/>
          <w:szCs w:val="21"/>
          <w14:textFill>
            <w14:solidFill>
              <w14:schemeClr w14:val="accent6"/>
            </w14:solidFill>
          </w14:textFill>
        </w:rPr>
      </w:pPr>
    </w:p>
    <w:p w14:paraId="73628471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亮点解析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eastAsia="zh-CN"/>
          <w14:textFill>
            <w14:solidFill>
              <w14:schemeClr w14:val="accent6"/>
            </w14:solidFill>
          </w14:textFill>
        </w:rPr>
        <w:t>】</w:t>
      </w:r>
    </w:p>
    <w:p w14:paraId="1D6E108E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2024年图德姆文学奖</w:t>
      </w:r>
      <w:r>
        <w:rPr>
          <w:rFonts w:hint="eastAsia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二等奖作</w:t>
      </w: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品</w:t>
      </w:r>
    </w:p>
    <w:p w14:paraId="24476879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以邻里故事为载体，讲述女孩、小狗与意外友谊的温暖羁绊，探讨家庭暴力、共情与善意，兼具治愈感与思想深度</w:t>
      </w:r>
    </w:p>
    <w:p w14:paraId="27D826D8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女孩、小狗与一段意外的友谊，揭示了最纯粹的善意</w:t>
      </w:r>
    </w:p>
    <w:p w14:paraId="5A0123ED">
      <w:pPr>
        <w:jc w:val="center"/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F79646" w:themeColor="accent6"/>
          <w:szCs w:val="21"/>
          <w:lang w:val="en-US" w:eastAsia="zh-CN"/>
          <w14:textFill>
            <w14:solidFill>
              <w14:schemeClr w14:val="accent6"/>
            </w14:solidFill>
          </w14:textFill>
        </w:rPr>
        <w:t>友谊，往往始于最微小、最具魔法的触碰</w:t>
      </w:r>
    </w:p>
    <w:p w14:paraId="65214228">
      <w:pPr>
        <w:rPr>
          <w:rFonts w:hint="eastAsia" w:ascii="Times New Roman" w:hAnsi="Times New Roman" w:eastAsia="宋体"/>
          <w:b/>
          <w:bCs/>
          <w:color w:val="1B1D46"/>
          <w:szCs w:val="21"/>
          <w:lang w:eastAsia="zh-CN"/>
        </w:rPr>
      </w:pPr>
    </w:p>
    <w:p w14:paraId="7F34C774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核心卖点：</w:t>
      </w:r>
    </w:p>
    <w:p w14:paraId="45DA6B39">
      <w:pP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1167D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·权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威奖项加持，荣获2024年图德姆文学奖二等奖，文笔细腻、叙事优质，文学价值与口碑双保障，适合注重书籍品质与思想深度的青少年阅读。</w:t>
      </w:r>
    </w:p>
    <w:p w14:paraId="584C3A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1FABC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·主题深刻且贴近成长，聚焦家庭暴力、共情、亲情关系与善意，以邻里故事为载体，引导青少年正确认识家庭暴力，学会理解他人、传递善意，培养责任感与勇气，兼具启蒙意义与治愈感。</w:t>
      </w:r>
    </w:p>
    <w:p w14:paraId="1A7C44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07B73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·风格温暖治愈，充满生活气息，人物形象鲜活真实，心理描写细腻，极易引发青少年情感共鸣，让青少年在阅读中感受友谊与善意的力量。</w:t>
      </w:r>
    </w:p>
    <w:p w14:paraId="6678BD38">
      <w:pP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B50C5E8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47A1F385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DBC1C8F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这是一本荣获2024年图德姆文学奖亚军的初中段成长小说，由Hilal Gürsu创作，以温暖的邻里故事为载体，讲述女孩、小狗与意外友谊的羁绊，探讨共情、勇气与善意。</w:t>
      </w:r>
    </w:p>
    <w:p w14:paraId="0FC09F2D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DE76103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一个温暖的邻里故事，女孩、小狗与一段意外的友谊，揭示了最纯粹的善意。内杰拉认为，“独一无二”是世界上最重要的事——就像她名字里的字母J一样。</w:t>
      </w:r>
    </w:p>
    <w:p w14:paraId="36F1598F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3FEEAED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她平静的邻里生活迎来了意想不到的转折：父亲带回了一只名叫莱迪的小狗。温柔、活泼、让人无法忽视的莱迪，很快成为了内杰拉世界的中心。但有一个条件：只要犯一个错误，莱迪就可能被送走。为了保护自己的新伙伴，内杰拉开始时刻留意自己的一举一动，谨慎权衡每一个决定。</w:t>
      </w:r>
    </w:p>
    <w:p w14:paraId="685159FB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683FCB4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在承担这份新责任的过程中，她开始以从未有过的方式关注身边的人——尤其是邻居家那个笨拙、肥胖的男孩梅莫，他有一个爱大喊大叫的父亲，习惯远远地默默注视着一切。当一场涉及相同汽车、撕裂的防水布和被误解的瞬间，威胁到莱迪在这个家的地位时，内杰拉被迫采取行动。她没有想到的是，帮助会来自最意想不到的地方。通过一个简单而勇敢的举动，内杰拉发现了梅莫最大的梦想：仅仅触摸一次狗的皮毛。</w:t>
      </w:r>
    </w:p>
    <w:p w14:paraId="13FA944A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D0F5E6">
      <w:pPr>
        <w:ind w:firstLine="420" w:firstLineChars="200"/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故事背景设定在一条熟悉的邻里街道上，这里充满了微小的戏剧与细腻的情感。在内杰拉明白“人往往与表象截然不同”的过程中，她也发现了善意的无声力量——友谊，往往始于最微小、最具魔法的触碰。</w:t>
      </w:r>
    </w:p>
    <w:p w14:paraId="602DD4CC">
      <w:pPr>
        <w:rPr>
          <w:rFonts w:hint="eastAsia" w:ascii="Times New Roman" w:hAnsi="Times New Roman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3DC588EC">
      <w:pP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0" w:name="productDetails"/>
      <w:bookmarkEnd w:id="0"/>
    </w:p>
    <w:p w14:paraId="3F44612A">
      <w:pPr>
        <w:ind w:firstLine="422" w:firstLineChars="200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C94C276">
      <w:pPr>
        <w:ind w:firstLine="422" w:firstLineChars="200"/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希拉尔·居尔苏（Hilal Gürsu）：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1990年出生于伊斯坦布尔，知名作家。小学时，她写了一首诗，因受到称赞，便有传言说她会成为一名诗人。中学时，她发现了史蒂芬·金的书籍，在阅读这些恐怖小说的过程中，她既感到深深的恐惧，也受到启发，开始运用自己的想象力进行写作，传言再次传开，说她会成为一名作家。她毕业于安纳托利亚大学公共管理专业，曾担任电台主持人、通信顾问，还和一只猫成为了朋友，最终如愿成为一名作家，其作品《魔法触碰》荣获2024年图德姆文学奖亚军。</w:t>
      </w:r>
    </w:p>
    <w:p w14:paraId="773BF616">
      <w:pPr>
        <w:rPr>
          <w:rFonts w:ascii="Times New Roman" w:hAnsi="Times New Roman" w:eastAsia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0275F6B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29745526">
      <w:pPr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638EFA2">
      <w:pPr>
        <w:jc w:val="center"/>
        <w:rPr>
          <w:rFonts w:ascii="Times New Roman" w:hAnsi="Times New Roman" w:eastAsia="宋体"/>
        </w:rPr>
      </w:pPr>
      <w:bookmarkStart w:id="1" w:name="_GoBack"/>
      <w:r>
        <w:drawing>
          <wp:inline distT="0" distB="0" distL="114300" distR="114300">
            <wp:extent cx="5399405" cy="4879340"/>
            <wp:effectExtent l="0" t="0" r="1079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87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BB29BBB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64635EC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C35D810">
      <w:pPr>
        <w:shd w:val="clear" w:color="auto" w:fill="FFFFFF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B73FD6A">
      <w:pPr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/>
        <w:ind w:left="0" w:right="0"/>
        <w:jc w:val="both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p w14:paraId="4485F0A3">
      <w:pPr>
        <w:ind w:right="420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Brother-1816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A522CFE"/>
    <w:rsid w:val="14E35E26"/>
    <w:rsid w:val="16CA57D2"/>
    <w:rsid w:val="17F02ED1"/>
    <w:rsid w:val="1A594718"/>
    <w:rsid w:val="1AF119FB"/>
    <w:rsid w:val="20951E81"/>
    <w:rsid w:val="245C6C6F"/>
    <w:rsid w:val="2511133A"/>
    <w:rsid w:val="2797643D"/>
    <w:rsid w:val="2C4B45E6"/>
    <w:rsid w:val="2E180D2E"/>
    <w:rsid w:val="3518359B"/>
    <w:rsid w:val="36935B89"/>
    <w:rsid w:val="3DDB7D58"/>
    <w:rsid w:val="534E138F"/>
    <w:rsid w:val="57897A67"/>
    <w:rsid w:val="5C606182"/>
    <w:rsid w:val="5EAF36F4"/>
    <w:rsid w:val="5FE56561"/>
    <w:rsid w:val="60D23CEC"/>
    <w:rsid w:val="62726C0F"/>
    <w:rsid w:val="62B0343B"/>
    <w:rsid w:val="74D749C1"/>
    <w:rsid w:val="77E04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1399</Words>
  <Characters>1718</Characters>
  <Lines>1</Lines>
  <Paragraphs>1</Paragraphs>
  <TotalTime>11</TotalTime>
  <ScaleCrop>false</ScaleCrop>
  <LinksUpToDate>false</LinksUpToDate>
  <CharactersWithSpaces>1744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2026-04-22T03:30:53Z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44BBF68551F046F19D426CA163FCADAC_13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